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4C252">
      <w:pPr>
        <w:pStyle w:val="12"/>
        <w:jc w:val="center"/>
        <w:rPr>
          <w:b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-762000</wp:posOffset>
                </wp:positionV>
                <wp:extent cx="1244600" cy="6731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600" cy="67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1CF64"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047750" cy="527050"/>
                                  <wp:effectExtent l="0" t="0" r="0" b="6350"/>
                                  <wp:docPr id="3" name="Imag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3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8482" cy="5274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pt;margin-top:-60pt;height:53pt;width:98pt;z-index:251659264;mso-width-relative:page;mso-height-relative:page;" fillcolor="#FFFFFF [3201]" filled="t" stroked="f" coordsize="21600,21600" o:gfxdata="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3Z2gNMAAAAMAQAADwAAAAAAAAABACAAAAAiAAAAZHJz&#10;L2Rvd25yZXYueG1sUEsBAhQAFAAAAAgAh07iQOpXZJVCAgAAnAQAAA4AAAAAAAAAAQAgAAAAIg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6B1CF64">
                      <w:r>
                        <w:rPr>
                          <w:sz w:val="20"/>
                        </w:rPr>
                        <w:drawing>
                          <wp:inline distT="0" distB="0" distL="0" distR="0">
                            <wp:extent cx="1047750" cy="527050"/>
                            <wp:effectExtent l="0" t="0" r="0" b="6350"/>
                            <wp:docPr id="3" name="Imag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3"/>
                                    <pic:cNvPicPr/>
                                  </pic:nvPicPr>
                                  <pic:blipFill>
                                    <a:blip r:embed="rId6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8482" cy="5274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GRASSROOT INITIATIVE FOR STRENGTHENING COMMUNITY RESILIENCE (GISCOR)</w:t>
      </w:r>
    </w:p>
    <w:p w14:paraId="3C214C27">
      <w:pPr>
        <w:pStyle w:val="12"/>
        <w:jc w:val="center"/>
        <w:rPr>
          <w:b/>
        </w:rPr>
      </w:pPr>
      <w:r>
        <w:rPr>
          <w:b/>
        </w:rPr>
        <w:t>INVITATION TO BID (ITB)</w:t>
      </w:r>
    </w:p>
    <w:p w14:paraId="0CE802AD">
      <w:pPr>
        <w:pStyle w:val="12"/>
        <w:jc w:val="center"/>
        <w:rPr>
          <w:b/>
        </w:rPr>
      </w:pPr>
      <w:r>
        <w:rPr>
          <w:b/>
        </w:rPr>
        <w:t>TENDER FOR REHABILITATION OF VIEWING CENTRE IN DAMATURU LOCAL GOVERNMENT, YOBE STATE, NIGERIA</w:t>
      </w:r>
    </w:p>
    <w:p w14:paraId="203933E9">
      <w:pPr>
        <w:pStyle w:val="12"/>
        <w:jc w:val="center"/>
        <w:rPr>
          <w:b/>
        </w:rPr>
      </w:pPr>
      <w:r>
        <w:rPr>
          <w:b/>
        </w:rPr>
        <w:t>Tender Reference No.: 26/NG/DM</w:t>
      </w:r>
      <w:r>
        <w:rPr>
          <w:rFonts w:hint="default"/>
          <w:b/>
          <w:lang w:val="en-US"/>
        </w:rPr>
        <w:t>T</w:t>
      </w:r>
      <w:r>
        <w:rPr>
          <w:b/>
        </w:rPr>
        <w:t>/GISCOR/ITB/001</w:t>
      </w:r>
    </w:p>
    <w:p w14:paraId="02D7360D">
      <w:pPr>
        <w:pStyle w:val="12"/>
        <w:jc w:val="both"/>
        <w:rPr>
          <w:rFonts w:hint="default"/>
          <w:b/>
          <w:lang w:val="en-US"/>
        </w:rPr>
      </w:pPr>
      <w:r>
        <w:rPr>
          <w:rFonts w:hint="default"/>
          <w:b/>
          <w:lang w:val="en-US"/>
        </w:rPr>
        <w:t xml:space="preserve">Date: </w:t>
      </w:r>
      <w:r>
        <w:rPr>
          <w:rFonts w:hint="default"/>
          <w:b w:val="0"/>
          <w:bCs/>
          <w:lang w:val="en-US"/>
        </w:rPr>
        <w:t>6/02/2026</w:t>
      </w:r>
    </w:p>
    <w:p w14:paraId="3368CACE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Section 1: Description of Work and General Conditions</w:t>
      </w:r>
    </w:p>
    <w:p w14:paraId="0441935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1.1 Presentation of GISCOR</w:t>
      </w:r>
    </w:p>
    <w:p w14:paraId="2E9DB432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Grassroots Initiative for Strengthening Community Resilience (GISCOR) is a national humanitarian and development organization that is non-governmental, non-profit, and non-political. GISCOR is actively present in North-Eastern and North-Western Nigeria, working to strengthen the resilience of populations affected by conflict and natural disasters.</w:t>
      </w:r>
    </w:p>
    <w:p w14:paraId="62741B1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 Description of Tasks</w:t>
      </w:r>
    </w:p>
    <w:p w14:paraId="6499C8DA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a) The purpose of this tender process is to lead to the signing of a </w:t>
      </w:r>
      <w:r>
        <w:rPr>
          <w:rFonts w:eastAsia="Times New Roman" w:cstheme="minorHAnsi"/>
          <w:b/>
          <w:bCs/>
        </w:rPr>
        <w:t>construction agreement for the rehabilitation of a Viewing Centre in Damaturu Local Government Area, Yobe State</w:t>
      </w:r>
      <w:r>
        <w:rPr>
          <w:rFonts w:eastAsia="Times New Roman" w:cstheme="minorHAnsi"/>
        </w:rPr>
        <w:t>, with the most responsive and qualified bidder.</w:t>
      </w:r>
    </w:p>
    <w:p w14:paraId="2CBCC5C1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b) Rehabilitation works may include </w:t>
      </w:r>
      <w:r>
        <w:rPr>
          <w:rFonts w:eastAsia="Times New Roman" w:cstheme="minorHAnsi"/>
          <w:b/>
          <w:bCs/>
        </w:rPr>
        <w:t>civil works, solar installation, and finishing</w:t>
      </w:r>
      <w:r>
        <w:rPr>
          <w:rFonts w:eastAsia="Times New Roman" w:cstheme="minorHAnsi"/>
        </w:rPr>
        <w:t>, as detailed in the Bills of Quantities and technical drawings provided in the annexes.</w:t>
      </w:r>
    </w:p>
    <w:p w14:paraId="2C0ABCD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1.2.1 The Works</w:t>
      </w:r>
    </w:p>
    <w:p w14:paraId="03C1B715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GISCOR is seeking a </w:t>
      </w:r>
      <w:r>
        <w:rPr>
          <w:rFonts w:eastAsia="Times New Roman" w:cstheme="minorHAnsi"/>
          <w:b/>
          <w:bCs/>
        </w:rPr>
        <w:t>competent, experienced, and reliable construction company</w:t>
      </w:r>
      <w:r>
        <w:rPr>
          <w:rFonts w:eastAsia="Times New Roman" w:cstheme="minorHAnsi"/>
        </w:rPr>
        <w:t xml:space="preserve"> to rehabilitate an existing Viewing Centre in Damaturu LGA. The successful bidder may also be considered for future construction or rehabilitation works.</w:t>
      </w:r>
    </w:p>
    <w:p w14:paraId="35C4892E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Responsibilities of the Tenderer include but are not limited to:</w:t>
      </w:r>
    </w:p>
    <w:p w14:paraId="67A33795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a) Site preparation, assessment, and mobilization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b) Procurement, transportation, loading, and unloading of construction materials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c) Removal of debris, damaged fittings, and waste materials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d) Repair and rehabilitation of walls, floors, roofing, doors, and windows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e) solar installation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f) Painting, finishing, and general refurbishment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g)Compliance with health, safety, and environmental standards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h) Quality assurance and supervision of works</w:t>
      </w:r>
    </w:p>
    <w:p w14:paraId="15F3BFE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Detailed technical specifications and drawings are provided in </w:t>
      </w:r>
      <w:r>
        <w:rPr>
          <w:rFonts w:eastAsia="Times New Roman" w:cstheme="minorHAnsi"/>
          <w:b/>
          <w:bCs/>
        </w:rPr>
        <w:t>ANNEX B</w:t>
      </w:r>
    </w:p>
    <w:p w14:paraId="50F3A4C2">
      <w:pPr>
        <w:spacing w:after="0" w:line="240" w:lineRule="auto"/>
        <w:rPr>
          <w:rFonts w:eastAsia="Times New Roman" w:cstheme="minorHAnsi"/>
        </w:rPr>
      </w:pPr>
    </w:p>
    <w:p w14:paraId="21996E0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1.2.2 Commencement and Completion of Work</w:t>
      </w:r>
    </w:p>
    <w:p w14:paraId="025AF8D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a) The Tenderer shall commence work </w:t>
      </w:r>
      <w:r>
        <w:rPr>
          <w:rFonts w:eastAsia="Times New Roman" w:cstheme="minorHAnsi"/>
          <w:b/>
          <w:bCs/>
        </w:rPr>
        <w:t>within five (5) days</w:t>
      </w:r>
      <w:r>
        <w:rPr>
          <w:rFonts w:eastAsia="Times New Roman" w:cstheme="minorHAnsi"/>
        </w:rPr>
        <w:t xml:space="preserve"> of signing the contract and site handover.</w:t>
      </w:r>
    </w:p>
    <w:p w14:paraId="6E61C8D4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b) GISCOR shall hand over the site within </w:t>
      </w:r>
      <w:r>
        <w:rPr>
          <w:rFonts w:eastAsia="Times New Roman" w:cstheme="minorHAnsi"/>
          <w:b/>
          <w:bCs/>
        </w:rPr>
        <w:t>24 hours</w:t>
      </w:r>
      <w:r>
        <w:rPr>
          <w:rFonts w:eastAsia="Times New Roman" w:cstheme="minorHAnsi"/>
        </w:rPr>
        <w:t xml:space="preserve"> of contract signing unless otherwise agreed in writing.</w:t>
      </w:r>
    </w:p>
    <w:p w14:paraId="3685495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c) The rehabilitation works shall be completed within </w:t>
      </w:r>
      <w:r>
        <w:rPr>
          <w:rFonts w:hint="default" w:eastAsia="Times New Roman" w:cstheme="minorHAnsi"/>
          <w:lang w:val="en-US"/>
        </w:rPr>
        <w:t>Four</w:t>
      </w:r>
      <w:r>
        <w:rPr>
          <w:rFonts w:eastAsia="Times New Roman" w:cstheme="minorHAnsi"/>
          <w:b/>
          <w:bCs/>
        </w:rPr>
        <w:t xml:space="preserve"> (</w:t>
      </w:r>
      <w:r>
        <w:rPr>
          <w:rFonts w:hint="default" w:eastAsia="Times New Roman" w:cstheme="minorHAnsi"/>
          <w:b/>
          <w:bCs/>
          <w:lang w:val="en-US"/>
        </w:rPr>
        <w:t>4</w:t>
      </w:r>
      <w:r>
        <w:rPr>
          <w:rFonts w:eastAsia="Times New Roman" w:cstheme="minorHAnsi"/>
          <w:b/>
          <w:bCs/>
        </w:rPr>
        <w:t>) weeks</w:t>
      </w:r>
      <w:r>
        <w:rPr>
          <w:rFonts w:eastAsia="Times New Roman" w:cstheme="minorHAnsi"/>
        </w:rPr>
        <w:t xml:space="preserve"> from the date of site handover. Any request for extension must be submitted in writing within </w:t>
      </w:r>
      <w:r>
        <w:rPr>
          <w:rFonts w:eastAsia="Times New Roman" w:cstheme="minorHAnsi"/>
          <w:b/>
          <w:bCs/>
        </w:rPr>
        <w:t>seven (7) days</w:t>
      </w:r>
      <w:r>
        <w:rPr>
          <w:rFonts w:eastAsia="Times New Roman" w:cstheme="minorHAnsi"/>
        </w:rPr>
        <w:t xml:space="preserve"> of the cause of delay.</w:t>
      </w:r>
    </w:p>
    <w:p w14:paraId="12245A7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1.2.3 Damages for Delay, Abandonment, and Cessation of Work</w:t>
      </w:r>
    </w:p>
    <w:p w14:paraId="6D908264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provisions under this clause </w:t>
      </w:r>
      <w:r>
        <w:rPr>
          <w:rFonts w:eastAsia="Times New Roman" w:cstheme="minorHAnsi"/>
          <w:b/>
          <w:bCs/>
        </w:rPr>
        <w:t>remain unchanged</w:t>
      </w:r>
      <w:r>
        <w:rPr>
          <w:rFonts w:eastAsia="Times New Roman" w:cstheme="minorHAnsi"/>
        </w:rPr>
        <w:t>, including:</w:t>
      </w:r>
    </w:p>
    <w:p w14:paraId="3F6FDB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Cancellation of contract for non-performance</w:t>
      </w:r>
    </w:p>
    <w:p w14:paraId="555ACC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Liquidated damages of </w:t>
      </w:r>
      <w:r>
        <w:rPr>
          <w:rFonts w:eastAsia="Times New Roman" w:cstheme="minorHAnsi"/>
          <w:b/>
          <w:bCs/>
        </w:rPr>
        <w:t>NGN 20,000 per day</w:t>
      </w:r>
      <w:r>
        <w:rPr>
          <w:rFonts w:eastAsia="Times New Roman" w:cstheme="minorHAnsi"/>
        </w:rPr>
        <w:t xml:space="preserve"> for delays</w:t>
      </w:r>
    </w:p>
    <w:p w14:paraId="59144B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Liability for additional costs incurred by GISCOR</w:t>
      </w:r>
    </w:p>
    <w:p w14:paraId="0B5DD1A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1.2.4 Abandonment of Work by the Agency</w:t>
      </w:r>
    </w:p>
    <w:p w14:paraId="2ABD0C9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terms under this section </w:t>
      </w:r>
      <w:r>
        <w:rPr>
          <w:rFonts w:eastAsia="Times New Roman" w:cstheme="minorHAnsi"/>
          <w:b/>
          <w:bCs/>
        </w:rPr>
        <w:t>apply fully</w:t>
      </w:r>
      <w:r>
        <w:rPr>
          <w:rFonts w:eastAsia="Times New Roman" w:cstheme="minorHAnsi"/>
        </w:rPr>
        <w:t xml:space="preserve"> to the rehabilitation works, including compensation limits and settlement procedures.</w:t>
      </w:r>
    </w:p>
    <w:p w14:paraId="7CE279A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1.2.5 Variations</w:t>
      </w:r>
    </w:p>
    <w:p w14:paraId="069A8467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 variations shall be undertaken without </w:t>
      </w:r>
      <w:r>
        <w:rPr>
          <w:rFonts w:eastAsia="Times New Roman" w:cstheme="minorHAnsi"/>
          <w:b/>
          <w:bCs/>
        </w:rPr>
        <w:t>prior written approval</w:t>
      </w:r>
      <w:r>
        <w:rPr>
          <w:rFonts w:eastAsia="Times New Roman" w:cstheme="minorHAnsi"/>
        </w:rPr>
        <w:t xml:space="preserve"> from the GISCOR Program Officer. All approved variations shall follow the terms of this Tender.</w:t>
      </w:r>
    </w:p>
    <w:p w14:paraId="1BFA348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Section 2: Conditions for Bidding</w:t>
      </w:r>
    </w:p>
    <w:p w14:paraId="4C12038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2.1 Place of Service</w:t>
      </w:r>
    </w:p>
    <w:p w14:paraId="32E38675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All services under this tender shall be carried out in: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  <w:b/>
          <w:bCs/>
        </w:rPr>
        <w:t>Damaturu Local Government Area, Yobe State, Nigeria</w:t>
      </w:r>
    </w:p>
    <w:p w14:paraId="415DFD61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service provider must comply with GISCOR’s Code of Conduct, Protection Policies, Anti-Corruption, and Counter-Terrorism clauses.</w:t>
      </w:r>
    </w:p>
    <w:p w14:paraId="5214533C">
      <w:pPr>
        <w:spacing w:after="0" w:line="240" w:lineRule="auto"/>
        <w:rPr>
          <w:rFonts w:eastAsia="Times New Roman" w:cstheme="minorHAnsi"/>
        </w:rPr>
      </w:pPr>
    </w:p>
    <w:p w14:paraId="5524AD69">
      <w:pPr>
        <w:spacing w:after="0" w:line="240" w:lineRule="auto"/>
        <w:rPr>
          <w:rFonts w:eastAsia="Times New Roman" w:cstheme="minorHAnsi"/>
        </w:rPr>
      </w:pPr>
    </w:p>
    <w:p w14:paraId="75267C99">
      <w:pPr>
        <w:spacing w:after="0" w:line="240" w:lineRule="auto"/>
        <w:rPr>
          <w:rFonts w:eastAsia="Times New Roman" w:cstheme="minorHAnsi"/>
        </w:rPr>
      </w:pPr>
    </w:p>
    <w:p w14:paraId="606EA3B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2.1 Administrative Verification</w:t>
      </w:r>
    </w:p>
    <w:p w14:paraId="3C63CCAC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An administrative compliance check shall be conducted at the bid opening stage to verify that submissions meet the eligibility and submission requirements set out in this Invitation to Bid.</w:t>
      </w:r>
    </w:p>
    <w:p w14:paraId="01B52C2D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Any bid found to contain </w:t>
      </w:r>
      <w:r>
        <w:rPr>
          <w:rFonts w:eastAsia="Times New Roman" w:cstheme="minorHAnsi"/>
          <w:b/>
          <w:bCs/>
        </w:rPr>
        <w:t>false, misleading, or incomplete information</w:t>
      </w:r>
      <w:r>
        <w:rPr>
          <w:rFonts w:eastAsia="Times New Roman" w:cstheme="minorHAnsi"/>
        </w:rPr>
        <w:t xml:space="preserve">, whether intentional or not, shall be declared </w:t>
      </w:r>
      <w:r>
        <w:rPr>
          <w:rFonts w:eastAsia="Times New Roman" w:cstheme="minorHAnsi"/>
          <w:b/>
          <w:bCs/>
        </w:rPr>
        <w:t>non-responsive</w:t>
      </w:r>
      <w:r>
        <w:rPr>
          <w:rFonts w:eastAsia="Times New Roman" w:cstheme="minorHAnsi"/>
        </w:rPr>
        <w:t xml:space="preserve"> and rejected.</w:t>
      </w:r>
    </w:p>
    <w:p w14:paraId="45F3B8F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Administrative Compliance Checklist (Yes / No)</w:t>
      </w:r>
    </w:p>
    <w:tbl>
      <w:tblPr>
        <w:tblStyle w:val="9"/>
        <w:tblW w:w="95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0"/>
        <w:gridCol w:w="1159"/>
      </w:tblGrid>
      <w:tr w14:paraId="25783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7E379AD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Requirement</w:t>
            </w:r>
          </w:p>
        </w:tc>
        <w:tc>
          <w:tcPr>
            <w:tcW w:w="0" w:type="auto"/>
          </w:tcPr>
          <w:p w14:paraId="77C4D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Compliant</w:t>
            </w:r>
          </w:p>
        </w:tc>
      </w:tr>
      <w:tr w14:paraId="2B8D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1247A23E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Bid received before the stated deadline (date and time)</w:t>
            </w:r>
          </w:p>
        </w:tc>
        <w:tc>
          <w:tcPr>
            <w:tcW w:w="0" w:type="auto"/>
          </w:tcPr>
          <w:p w14:paraId="1BDD810A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6E20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5269078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Envelope properly sealed, with no evidence of tampering</w:t>
            </w:r>
          </w:p>
        </w:tc>
        <w:tc>
          <w:tcPr>
            <w:tcW w:w="0" w:type="auto"/>
          </w:tcPr>
          <w:p w14:paraId="4AFEECC1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645DA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0" w:type="auto"/>
          </w:tcPr>
          <w:p w14:paraId="70E8D448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Envelope clearly marked with the tender reference number</w:t>
            </w:r>
          </w:p>
        </w:tc>
        <w:tc>
          <w:tcPr>
            <w:tcW w:w="0" w:type="auto"/>
          </w:tcPr>
          <w:p w14:paraId="21C99711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7A468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27267468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Duly completed, signed, and stamped Supplier Registration Form (Annex A)</w:t>
            </w:r>
          </w:p>
        </w:tc>
        <w:tc>
          <w:tcPr>
            <w:tcW w:w="0" w:type="auto"/>
          </w:tcPr>
          <w:p w14:paraId="5EFCFD8B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65D8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0" w:type="auto"/>
          </w:tcPr>
          <w:p w14:paraId="688FAE6E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Duly completed, signed, and stamped Bill of Quantities (Annex B – Rehabilitation of Viewing Centre)</w:t>
            </w:r>
          </w:p>
        </w:tc>
        <w:tc>
          <w:tcPr>
            <w:tcW w:w="0" w:type="auto"/>
          </w:tcPr>
          <w:p w14:paraId="79F397B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3217B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0" w:type="auto"/>
          </w:tcPr>
          <w:p w14:paraId="5E4F4918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Duly completed Work Plan and Technical Approach  –</w:t>
            </w:r>
            <w:r>
              <w:rPr>
                <w:rFonts w:hint="default" w:eastAsia="Times New Roman" w:cstheme="minorHAnsi"/>
                <w:lang w:val="en-US"/>
              </w:rPr>
              <w:t xml:space="preserve"> </w:t>
            </w:r>
            <w:r>
              <w:rPr>
                <w:rFonts w:eastAsia="Times New Roman" w:cstheme="minorHAnsi"/>
              </w:rPr>
              <w:t xml:space="preserve"> Rehabilitation of Viewing Centre)</w:t>
            </w:r>
          </w:p>
        </w:tc>
        <w:tc>
          <w:tcPr>
            <w:tcW w:w="0" w:type="auto"/>
          </w:tcPr>
          <w:p w14:paraId="2E23BCC8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151B1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4BAECD36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highlight w:val="none"/>
              </w:rPr>
              <w:t xml:space="preserve">Duly completed, signed, and stamped </w:t>
            </w:r>
            <w:r>
              <w:rPr>
                <w:rFonts w:hint="default" w:eastAsia="Times New Roman" w:cstheme="minorHAnsi"/>
                <w:highlight w:val="none"/>
                <w:lang w:val="en-US"/>
              </w:rPr>
              <w:t>Supplier code of Conduct</w:t>
            </w:r>
            <w:r>
              <w:rPr>
                <w:rFonts w:eastAsia="Times New Roman" w:cstheme="minorHAnsi"/>
                <w:highlight w:val="none"/>
              </w:rPr>
              <w:t xml:space="preserve"> Form (Annex </w:t>
            </w:r>
            <w:r>
              <w:rPr>
                <w:rFonts w:hint="default" w:eastAsia="Times New Roman" w:cstheme="minorHAnsi"/>
                <w:highlight w:val="none"/>
                <w:lang w:val="en-US"/>
              </w:rPr>
              <w:t>C</w:t>
            </w:r>
            <w:r>
              <w:rPr>
                <w:rFonts w:eastAsia="Times New Roman" w:cstheme="minorHAnsi"/>
                <w:highlight w:val="none"/>
              </w:rPr>
              <w:t>)</w:t>
            </w:r>
          </w:p>
        </w:tc>
        <w:tc>
          <w:tcPr>
            <w:tcW w:w="0" w:type="auto"/>
          </w:tcPr>
          <w:p w14:paraId="03495DC5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3C2C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0" w:type="auto"/>
          </w:tcPr>
          <w:p w14:paraId="1C79624E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Valid CAC registration, Company Profile, and TIN</w:t>
            </w:r>
          </w:p>
        </w:tc>
        <w:tc>
          <w:tcPr>
            <w:tcW w:w="0" w:type="auto"/>
          </w:tcPr>
          <w:p w14:paraId="69DFE7A2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7FAE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507287F5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Valid Tax Clearance Certificate (most recent)-31</w:t>
            </w:r>
            <w:r>
              <w:rPr>
                <w:rFonts w:eastAsia="Times New Roman" w:cstheme="minorHAnsi"/>
                <w:vertAlign w:val="superscript"/>
              </w:rPr>
              <w:t>st</w:t>
            </w:r>
            <w:r>
              <w:rPr>
                <w:rFonts w:eastAsia="Times New Roman" w:cstheme="minorHAnsi"/>
              </w:rPr>
              <w:t xml:space="preserve"> December 2026</w:t>
            </w:r>
          </w:p>
        </w:tc>
        <w:tc>
          <w:tcPr>
            <w:tcW w:w="0" w:type="auto"/>
          </w:tcPr>
          <w:p w14:paraId="65A468C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  <w:tr w14:paraId="7131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</w:tcPr>
          <w:p w14:paraId="1798238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Valid identification of the Legal Representative</w:t>
            </w:r>
          </w:p>
        </w:tc>
        <w:tc>
          <w:tcPr>
            <w:tcW w:w="0" w:type="auto"/>
          </w:tcPr>
          <w:p w14:paraId="106BF01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Yes / No</w:t>
            </w:r>
          </w:p>
        </w:tc>
      </w:tr>
    </w:tbl>
    <w:p w14:paraId="69672967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Segoe UI Symbol" w:hAnsi="Segoe UI Symbol" w:eastAsia="Times New Roman" w:cs="Segoe UI Symbol"/>
        </w:rPr>
        <w:t>📌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b/>
          <w:bCs/>
        </w:rPr>
        <w:t>Note:</w:t>
      </w:r>
      <w:r>
        <w:rPr>
          <w:rFonts w:eastAsia="Times New Roman" w:cstheme="minorHAnsi"/>
        </w:rPr>
        <w:t xml:space="preserve"> Failure to comply with </w:t>
      </w:r>
      <w:r>
        <w:rPr>
          <w:rFonts w:eastAsia="Times New Roman" w:cstheme="minorHAnsi"/>
          <w:b/>
          <w:bCs/>
        </w:rPr>
        <w:t>any one (1)</w:t>
      </w:r>
      <w:r>
        <w:rPr>
          <w:rFonts w:eastAsia="Times New Roman" w:cstheme="minorHAnsi"/>
        </w:rPr>
        <w:t xml:space="preserve"> of the above requirements shall result in automatic disqualification of the bid.</w:t>
      </w:r>
    </w:p>
    <w:p w14:paraId="5ABCDD8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2.2 Technical Evaluation (70 Points)</w:t>
      </w:r>
    </w:p>
    <w:p w14:paraId="76BDC5B1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Only bids that pass the administrative verification stage shall proceed to the technical evaluation. The technical assessment shall be conducted in accordance with the criteria below: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6592"/>
        <w:gridCol w:w="788"/>
      </w:tblGrid>
      <w:tr w14:paraId="4738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20C9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Evaluation Criteria</w:t>
            </w:r>
          </w:p>
        </w:tc>
        <w:tc>
          <w:tcPr>
            <w:tcW w:w="0" w:type="auto"/>
          </w:tcPr>
          <w:p w14:paraId="412769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Description</w:t>
            </w:r>
          </w:p>
        </w:tc>
        <w:tc>
          <w:tcPr>
            <w:tcW w:w="0" w:type="auto"/>
          </w:tcPr>
          <w:p w14:paraId="18678ED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Points</w:t>
            </w:r>
          </w:p>
        </w:tc>
      </w:tr>
      <w:tr w14:paraId="30F20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3DAF4C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>Key Personnel</w:t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  <w:lang w:val="en-US"/>
              </w:rPr>
              <w:t>’s</w:t>
            </w:r>
            <w:r>
              <w:rPr>
                <w:rFonts w:hint="default" w:ascii="Calibri" w:hAnsi="Calibri" w:cs="Calibri"/>
                <w:b/>
                <w:bCs/>
                <w:sz w:val="22"/>
                <w:szCs w:val="22"/>
              </w:rPr>
              <w:t xml:space="preserve"> Technical Resources</w:t>
            </w:r>
          </w:p>
        </w:tc>
        <w:tc>
          <w:tcPr>
            <w:tcW w:w="0" w:type="auto"/>
          </w:tcPr>
          <w:p w14:paraId="04EA9224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eastAsia="Times New Roman" w:cstheme="minorHAnsi"/>
                <w:lang w:val="en-US"/>
              </w:rPr>
            </w:pP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</w:rPr>
              <w:t xml:space="preserve">Project manager </w:t>
            </w: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  <w:lang w:val="en-US"/>
              </w:rPr>
              <w:t xml:space="preserve">and </w:t>
            </w: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</w:rPr>
              <w:t>foremen</w:t>
            </w: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</w:rPr>
              <w:t>experience and qualifications</w:t>
            </w:r>
            <w:r>
              <w:rPr>
                <w:rFonts w:hint="default" w:ascii="Calibri" w:hAnsi="Calibri" w:cs="Calibri"/>
                <w:b w:val="0"/>
                <w:bCs w:val="0"/>
                <w:sz w:val="22"/>
                <w:szCs w:val="22"/>
                <w:lang w:val="en-US"/>
              </w:rPr>
              <w:t>. 5 Points each</w:t>
            </w:r>
          </w:p>
        </w:tc>
        <w:tc>
          <w:tcPr>
            <w:tcW w:w="0" w:type="auto"/>
          </w:tcPr>
          <w:p w14:paraId="1BEEA4B5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14:paraId="5B46C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39F01C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Technical &amp; Professional Capacity</w:t>
            </w:r>
          </w:p>
        </w:tc>
        <w:tc>
          <w:tcPr>
            <w:tcW w:w="0" w:type="auto"/>
          </w:tcPr>
          <w:p w14:paraId="72E75E76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Availability of qualified technical staff (COREN</w:t>
            </w:r>
            <w:r>
              <w:rPr>
                <w:rFonts w:hint="default" w:eastAsia="Times New Roman" w:cstheme="minorHAnsi"/>
                <w:lang w:val="en-US"/>
              </w:rPr>
              <w:t xml:space="preserve"> </w:t>
            </w:r>
            <w:r>
              <w:rPr>
                <w:rFonts w:eastAsia="Times New Roman" w:cstheme="minorHAnsi"/>
              </w:rPr>
              <w:t>-</w:t>
            </w:r>
            <w:r>
              <w:rPr>
                <w:rFonts w:hint="default" w:eastAsia="Times New Roman" w:cstheme="minorHAnsi"/>
                <w:lang w:val="en-US"/>
              </w:rPr>
              <w:t xml:space="preserve"> </w:t>
            </w:r>
            <w:r>
              <w:rPr>
                <w:rFonts w:eastAsia="Times New Roman" w:cstheme="minorHAnsi"/>
              </w:rPr>
              <w:t>registered Engineer or equivalent civil engineering certification)</w:t>
            </w:r>
          </w:p>
        </w:tc>
        <w:tc>
          <w:tcPr>
            <w:tcW w:w="0" w:type="auto"/>
          </w:tcPr>
          <w:p w14:paraId="1DE9765F">
            <w:pPr>
              <w:spacing w:after="0" w:line="240" w:lineRule="auto"/>
              <w:jc w:val="center"/>
              <w:rPr>
                <w:rFonts w:hint="default" w:eastAsia="Times New Roman" w:cstheme="minorHAnsi"/>
                <w:lang w:val="en-US"/>
              </w:rPr>
            </w:pPr>
            <w:r>
              <w:rPr>
                <w:rFonts w:hint="default" w:eastAsia="Times New Roman" w:cstheme="minorHAnsi"/>
                <w:lang w:val="en-US"/>
              </w:rPr>
              <w:t>25</w:t>
            </w:r>
          </w:p>
        </w:tc>
      </w:tr>
      <w:tr w14:paraId="22F57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E295CDA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Relevant Experience</w:t>
            </w:r>
          </w:p>
        </w:tc>
        <w:tc>
          <w:tcPr>
            <w:tcW w:w="0" w:type="auto"/>
          </w:tcPr>
          <w:p w14:paraId="18BC6B6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Proven experience in similar construction/rehabilitation works with NGOs, UN agencies, embassies, or donors (maximum 2 contracts at 10 points each)</w:t>
            </w:r>
          </w:p>
        </w:tc>
        <w:tc>
          <w:tcPr>
            <w:tcW w:w="0" w:type="auto"/>
          </w:tcPr>
          <w:p w14:paraId="43DE8383">
            <w:pPr>
              <w:spacing w:after="0" w:line="240" w:lineRule="auto"/>
              <w:jc w:val="center"/>
              <w:rPr>
                <w:rFonts w:hint="default" w:eastAsia="Times New Roman" w:cstheme="minorHAnsi"/>
                <w:lang w:val="en-US"/>
              </w:rPr>
            </w:pPr>
            <w:r>
              <w:rPr>
                <w:rFonts w:eastAsia="Times New Roman" w:cstheme="minorHAnsi"/>
              </w:rPr>
              <w:t>2</w:t>
            </w:r>
            <w:r>
              <w:rPr>
                <w:rFonts w:hint="default" w:eastAsia="Times New Roman" w:cstheme="minorHAnsi"/>
                <w:lang w:val="en-US"/>
              </w:rPr>
              <w:t>0</w:t>
            </w:r>
          </w:p>
        </w:tc>
      </w:tr>
      <w:tr w14:paraId="1CFAD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3EC789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Health &amp; Safety Management Plan</w:t>
            </w:r>
          </w:p>
        </w:tc>
        <w:tc>
          <w:tcPr>
            <w:tcW w:w="0" w:type="auto"/>
          </w:tcPr>
          <w:p w14:paraId="1DDFFE40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Clear and practical HSE plan in line with humanitarian standards</w:t>
            </w:r>
          </w:p>
        </w:tc>
        <w:tc>
          <w:tcPr>
            <w:tcW w:w="0" w:type="auto"/>
          </w:tcPr>
          <w:p w14:paraId="3D30980E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14:paraId="4D5A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FEB520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Work Plan &amp; Methodology</w:t>
            </w:r>
          </w:p>
        </w:tc>
        <w:tc>
          <w:tcPr>
            <w:tcW w:w="0" w:type="auto"/>
          </w:tcPr>
          <w:p w14:paraId="35C0FC72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Clear, logical, and stage-by-stage implementation plan</w:t>
            </w:r>
          </w:p>
        </w:tc>
        <w:tc>
          <w:tcPr>
            <w:tcW w:w="0" w:type="auto"/>
          </w:tcPr>
          <w:p w14:paraId="759EAE77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</w:t>
            </w:r>
          </w:p>
        </w:tc>
      </w:tr>
      <w:tr w14:paraId="17E7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3D53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209EA5DC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</w:tcPr>
          <w:p w14:paraId="36EF9166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hint="default" w:eastAsia="Times New Roman" w:cstheme="minorHAnsi"/>
                <w:b/>
                <w:bCs/>
                <w:sz w:val="24"/>
                <w:szCs w:val="24"/>
                <w:lang w:val="en-US"/>
              </w:rPr>
              <w:t>7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0</w:t>
            </w:r>
          </w:p>
        </w:tc>
      </w:tr>
      <w:tr w14:paraId="01B6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758A24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0" w:type="auto"/>
          </w:tcPr>
          <w:p w14:paraId="5D69C0B8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</w:tcPr>
          <w:p w14:paraId="31E8988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</w:tbl>
    <w:p w14:paraId="720CE5A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Segoe UI Symbol" w:hAnsi="Segoe UI Symbol" w:eastAsia="Times New Roman" w:cs="Segoe UI Symbol"/>
        </w:rPr>
        <w:t>🔹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b/>
          <w:bCs/>
        </w:rPr>
        <w:t>Minimum Technical Threshold:</w:t>
      </w:r>
      <w:bookmarkStart w:id="0" w:name="_GoBack"/>
      <w:bookmarkEnd w:id="0"/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 xml:space="preserve">Only bidders scoring </w:t>
      </w:r>
      <w:r>
        <w:rPr>
          <w:rFonts w:eastAsia="Times New Roman" w:cstheme="minorHAnsi"/>
          <w:b/>
          <w:bCs/>
        </w:rPr>
        <w:t>3</w:t>
      </w:r>
      <w:r>
        <w:rPr>
          <w:rFonts w:hint="default" w:eastAsia="Times New Roman" w:cstheme="minorHAnsi"/>
          <w:b/>
          <w:bCs/>
          <w:lang w:val="en-US"/>
        </w:rPr>
        <w:t>5</w:t>
      </w:r>
      <w:r>
        <w:rPr>
          <w:rFonts w:eastAsia="Times New Roman" w:cstheme="minorHAnsi"/>
          <w:b/>
          <w:bCs/>
        </w:rPr>
        <w:t xml:space="preserve"> points or above</w:t>
      </w:r>
      <w:r>
        <w:rPr>
          <w:rFonts w:eastAsia="Times New Roman" w:cstheme="minorHAnsi"/>
        </w:rPr>
        <w:t xml:space="preserve"> shall qualify for financial evaluation.</w:t>
      </w:r>
    </w:p>
    <w:p w14:paraId="11B2AEA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2.3 Financial Evaluation (</w:t>
      </w:r>
      <w:r>
        <w:rPr>
          <w:rFonts w:hint="default" w:eastAsia="Times New Roman" w:cstheme="minorHAnsi"/>
          <w:b/>
          <w:bCs/>
          <w:lang w:val="en-US"/>
        </w:rPr>
        <w:t>3</w:t>
      </w:r>
      <w:r>
        <w:rPr>
          <w:rFonts w:eastAsia="Times New Roman" w:cstheme="minorHAnsi"/>
          <w:b/>
          <w:bCs/>
        </w:rPr>
        <w:t>0 Points)</w:t>
      </w:r>
    </w:p>
    <w:p w14:paraId="2F3681C1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financial evaluation shall be based on the costs provided in </w:t>
      </w:r>
      <w:r>
        <w:rPr>
          <w:rFonts w:eastAsia="Times New Roman" w:cstheme="minorHAnsi"/>
          <w:b/>
          <w:bCs/>
        </w:rPr>
        <w:t>Annex B (Bill of Quantities)</w:t>
      </w:r>
      <w:r>
        <w:rPr>
          <w:rFonts w:eastAsia="Times New Roman" w:cstheme="minorHAnsi"/>
        </w:rPr>
        <w:t>.</w:t>
      </w:r>
    </w:p>
    <w:p w14:paraId="29C1EE31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Scoring Formula: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 xml:space="preserve">Lowest evaluated bid × </w:t>
      </w:r>
      <w:r>
        <w:rPr>
          <w:rFonts w:hint="default" w:eastAsia="Times New Roman" w:cstheme="minorHAnsi"/>
          <w:lang w:val="en-US"/>
        </w:rPr>
        <w:t>3</w:t>
      </w:r>
      <w:r>
        <w:rPr>
          <w:rFonts w:eastAsia="Times New Roman" w:cstheme="minorHAnsi"/>
        </w:rPr>
        <w:t>0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———————————————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Bidder’s evaluated bid</w:t>
      </w:r>
    </w:p>
    <w:p w14:paraId="1ACC4B74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Bidders are advised to submit </w:t>
      </w:r>
      <w:r>
        <w:rPr>
          <w:rFonts w:eastAsia="Times New Roman" w:cstheme="minorHAnsi"/>
          <w:b/>
          <w:bCs/>
        </w:rPr>
        <w:t>realistic and market-based prices</w:t>
      </w:r>
      <w:r>
        <w:rPr>
          <w:rFonts w:eastAsia="Times New Roman" w:cstheme="minorHAnsi"/>
        </w:rPr>
        <w:t>. Abnormally low or unrealistic bids may be rejected.</w:t>
      </w:r>
    </w:p>
    <w:p w14:paraId="2F002D79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GISCOR reserves the right, subject to budget availability, to award the contract for </w:t>
      </w:r>
      <w:r>
        <w:rPr>
          <w:rFonts w:eastAsia="Times New Roman" w:cstheme="minorHAnsi"/>
          <w:b/>
          <w:bCs/>
        </w:rPr>
        <w:t>all or part of the scope of work</w:t>
      </w:r>
      <w:r>
        <w:rPr>
          <w:rFonts w:eastAsia="Times New Roman" w:cstheme="minorHAnsi"/>
        </w:rPr>
        <w:t>. Where a bidder declines partial award, the contract may be offered to the next ranked bidder.</w:t>
      </w:r>
    </w:p>
    <w:p w14:paraId="454F276B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2.4 Final Evaluation and Award</w:t>
      </w:r>
    </w:p>
    <w:p w14:paraId="7B3AF08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final score shall be calculated as follows:</w:t>
      </w:r>
    </w:p>
    <w:p w14:paraId="77353992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Final Score = Technical Score + Financial Score</w:t>
      </w:r>
    </w:p>
    <w:p w14:paraId="4225960B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contract shall be awarded to the bidder with the </w:t>
      </w:r>
      <w:r>
        <w:rPr>
          <w:rFonts w:eastAsia="Times New Roman" w:cstheme="minorHAnsi"/>
          <w:b/>
          <w:bCs/>
        </w:rPr>
        <w:t>highest combined score</w:t>
      </w:r>
      <w:r>
        <w:rPr>
          <w:rFonts w:eastAsia="Times New Roman" w:cstheme="minorHAnsi"/>
        </w:rPr>
        <w:t>.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 xml:space="preserve">In the event of a tie, the bidder with the </w:t>
      </w:r>
      <w:r>
        <w:rPr>
          <w:rFonts w:eastAsia="Times New Roman" w:cstheme="minorHAnsi"/>
          <w:b/>
          <w:bCs/>
        </w:rPr>
        <w:t>lowest financial offer</w:t>
      </w:r>
      <w:r>
        <w:rPr>
          <w:rFonts w:eastAsia="Times New Roman" w:cstheme="minorHAnsi"/>
        </w:rPr>
        <w:t xml:space="preserve"> shall be selected.</w:t>
      </w:r>
    </w:p>
    <w:p w14:paraId="6E6F4D96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GISCOR reserves the right to enter into </w:t>
      </w:r>
      <w:r>
        <w:rPr>
          <w:rFonts w:eastAsia="Times New Roman" w:cstheme="minorHAnsi"/>
          <w:b/>
          <w:bCs/>
        </w:rPr>
        <w:t>contract agreements</w:t>
      </w:r>
      <w:r>
        <w:rPr>
          <w:rFonts w:eastAsia="Times New Roman" w:cstheme="minorHAnsi"/>
        </w:rPr>
        <w:t xml:space="preserve"> with one or more suppliers for similar services.</w:t>
      </w:r>
    </w:p>
    <w:p w14:paraId="3011BC3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2.5 Bidder’s Submission Checklist</w:t>
      </w:r>
    </w:p>
    <w:p w14:paraId="3D335D6F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Before submission, bidders are advised to ensure that all required documents are included:</w:t>
      </w:r>
    </w:p>
    <w:p w14:paraId="6332CC3C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• Stamped Supplier Registration Form (Annex A)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Stamped Bill of Quantities (Annex B – Rehabilitation of Viewing Centre)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Stamped Technical Drawings and Work Plan (Annex C)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Stamped Financial Offer / Unit Cost Form (Annex D)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Valid Tax Clearance Certificate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CAC Registration, Company Profile, and TIN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Health and Safety Management Plan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Evidence of similar works with NGOs/UN agencies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COREN Certificate of proposed Site Engineer (where applicable)</w:t>
      </w:r>
    </w:p>
    <w:p w14:paraId="4CF0F03F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Segoe UI Symbol" w:hAnsi="Segoe UI Symbol" w:eastAsia="Times New Roman" w:cs="Segoe UI Symbol"/>
        </w:rPr>
        <w:t>📌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i/>
          <w:iCs/>
        </w:rPr>
        <w:t>Bidders are encouraged to provide clear contact details, including an active email address.</w:t>
      </w:r>
    </w:p>
    <w:p w14:paraId="2C82395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2.6 Ethics and Labour Standards</w:t>
      </w:r>
    </w:p>
    <w:p w14:paraId="19A57E68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bidders and contractors shall comply with the </w:t>
      </w:r>
      <w:r>
        <w:rPr>
          <w:rFonts w:eastAsia="Times New Roman" w:cstheme="minorHAnsi"/>
          <w:bCs/>
        </w:rPr>
        <w:t>International Labour Organization (ILO) conventions</w:t>
      </w:r>
      <w:r>
        <w:rPr>
          <w:rFonts w:eastAsia="Times New Roman" w:cstheme="minorHAnsi"/>
        </w:rPr>
        <w:t>, including but not limited to:</w:t>
      </w:r>
    </w:p>
    <w:p w14:paraId="19A2186A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a) Prohibition of forced or compulsory labour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b) Respect for freedom of association and collective bargaining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c) Provision of safe and hygienic working conditions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d) Prohibition of child labour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e) Payment of fair and legal wages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f) Reasonable working hours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g) Non-discrimination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h) Prohibition of harassment, abuse, or inhumane treatment</w:t>
      </w:r>
    </w:p>
    <w:p w14:paraId="5A3BA1B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2.7 Environmental and Safety Standards</w:t>
      </w:r>
    </w:p>
    <w:p w14:paraId="4C0EA954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Suppliers must comply with applicable environmental laws and donor environmental safeguards, including:</w:t>
      </w:r>
    </w:p>
    <w:p w14:paraId="6D4584AE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• Proper waste management and disposal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Pollution prevention (air, soil, and water)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Efficient use of energy and resources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Safe transport and handling of materials</w:t>
      </w:r>
    </w:p>
    <w:p w14:paraId="3B4FD1D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2.8 Business Conduct and Exclusions</w:t>
      </w:r>
    </w:p>
    <w:p w14:paraId="6FDE3AEE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Suppliers must respect the rights and dignity of GISCOR beneficiaries and staff.</w:t>
      </w:r>
    </w:p>
    <w:p w14:paraId="7E6978DA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GISCOR shall not engage suppliers involved in: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a) Manufacture of weapons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b) Sale of arms to parties engaged in human rights violations or armed conflict</w:t>
      </w:r>
    </w:p>
    <w:p w14:paraId="4CD4A32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2.9 Cancellation of Tender Procedure</w:t>
      </w:r>
    </w:p>
    <w:p w14:paraId="717B81D2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GISCOR reserves the right to cancel the tender process at any stage without liability, including where:</w:t>
      </w:r>
    </w:p>
    <w:p w14:paraId="1916D7D3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• No technically or financially responsive bids are received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Project parameters change significantly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Force majeure or exceptional circumstances occur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All compliant bids exceed available budget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• Fraud, irregularities, or errors affecting fair competition are identified</w:t>
      </w:r>
    </w:p>
    <w:p w14:paraId="50E630C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Section 3: Conditions for Submission</w:t>
      </w:r>
    </w:p>
    <w:p w14:paraId="70C451B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3.1 Submission Address</w:t>
      </w:r>
    </w:p>
    <w:p w14:paraId="7802CB18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Completed bids must be submitted </w:t>
      </w:r>
      <w:r>
        <w:rPr>
          <w:rFonts w:eastAsia="Times New Roman" w:cstheme="minorHAnsi"/>
          <w:b/>
          <w:bCs/>
        </w:rPr>
        <w:t>in a sealed envelope</w:t>
      </w:r>
      <w:r>
        <w:rPr>
          <w:rFonts w:eastAsia="Times New Roman" w:cstheme="minorHAnsi"/>
        </w:rPr>
        <w:t xml:space="preserve"> to:</w:t>
      </w:r>
    </w:p>
    <w:p w14:paraId="0F42111C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GISCOR Office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Plot No. 174, Off Damboa Road,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Adamawa Street, Opposite Nanne and Boi Hotel,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Extension, Maiduguri, Borno State, Nigeria.</w:t>
      </w:r>
    </w:p>
    <w:p w14:paraId="43C6E825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OR via email at </w:t>
      </w:r>
      <w:r>
        <w:rPr>
          <w:rFonts w:eastAsia="Times New Roman" w:cstheme="minorHAnsi"/>
          <w:b/>
          <w:bCs/>
        </w:rPr>
        <w:t>Procurement@giscor.org</w:t>
      </w:r>
    </w:p>
    <w:p w14:paraId="7BE84A7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3.3 Deadline for Receipt of Bids</w:t>
      </w:r>
    </w:p>
    <w:p w14:paraId="3A4B4C53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Segoe UI Symbol" w:hAnsi="Segoe UI Symbol" w:eastAsia="Times New Roman" w:cs="Segoe UI Symbol"/>
        </w:rPr>
        <w:t>📌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b/>
          <w:bCs/>
        </w:rPr>
        <w:t>Deadline: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b/>
          <w:bCs/>
        </w:rPr>
        <w:t>1</w:t>
      </w:r>
      <w:r>
        <w:rPr>
          <w:rFonts w:hint="default" w:eastAsia="Times New Roman" w:cstheme="minorHAnsi"/>
          <w:b/>
          <w:bCs/>
          <w:lang w:val="en-US"/>
        </w:rPr>
        <w:t>6</w:t>
      </w:r>
      <w:r>
        <w:rPr>
          <w:rFonts w:eastAsia="Times New Roman" w:cstheme="minorHAnsi"/>
          <w:b/>
          <w:bCs/>
        </w:rPr>
        <w:t>th February 2026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  <w:b/>
          <w:bCs/>
        </w:rPr>
        <w:t>Time:</w:t>
      </w:r>
      <w:r>
        <w:rPr>
          <w:rFonts w:eastAsia="Times New Roman" w:cstheme="minorHAnsi"/>
        </w:rPr>
        <w:t xml:space="preserve"> Not later than </w:t>
      </w:r>
      <w:r>
        <w:rPr>
          <w:rFonts w:hint="default" w:eastAsia="Times New Roman" w:cstheme="minorHAnsi"/>
          <w:b/>
          <w:bCs/>
          <w:lang w:val="en-US"/>
        </w:rPr>
        <w:t>5</w:t>
      </w:r>
      <w:r>
        <w:rPr>
          <w:rFonts w:eastAsia="Times New Roman" w:cstheme="minorHAnsi"/>
          <w:b/>
          <w:bCs/>
        </w:rPr>
        <w:t>:00 PM (1</w:t>
      </w:r>
      <w:r>
        <w:rPr>
          <w:rFonts w:hint="default" w:eastAsia="Times New Roman" w:cstheme="minorHAnsi"/>
          <w:b/>
          <w:bCs/>
          <w:lang w:val="en-US"/>
        </w:rPr>
        <w:t>7</w:t>
      </w:r>
      <w:r>
        <w:rPr>
          <w:rFonts w:eastAsia="Times New Roman" w:cstheme="minorHAnsi"/>
          <w:b/>
          <w:bCs/>
        </w:rPr>
        <w:t>:00 hours)</w:t>
      </w:r>
    </w:p>
    <w:p w14:paraId="22A20D40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Late submissions will </w:t>
      </w:r>
      <w:r>
        <w:rPr>
          <w:rFonts w:eastAsia="Times New Roman" w:cstheme="minorHAnsi"/>
          <w:b/>
          <w:bCs/>
        </w:rPr>
        <w:t>not</w:t>
      </w:r>
      <w:r>
        <w:rPr>
          <w:rFonts w:eastAsia="Times New Roman" w:cstheme="minorHAnsi"/>
        </w:rPr>
        <w:t xml:space="preserve"> be considered.</w:t>
      </w:r>
    </w:p>
    <w:p w14:paraId="6D6E3A7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3.4 Clarifications</w:t>
      </w:r>
    </w:p>
    <w:p w14:paraId="30760FA8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Requests for clarification must be submitted </w:t>
      </w:r>
      <w:r>
        <w:rPr>
          <w:rFonts w:eastAsia="Times New Roman" w:cstheme="minorHAnsi"/>
          <w:b/>
          <w:bCs/>
        </w:rPr>
        <w:t>in writing</w:t>
      </w:r>
      <w:r>
        <w:rPr>
          <w:rFonts w:eastAsia="Times New Roman" w:cstheme="minorHAnsi"/>
        </w:rPr>
        <w:t xml:space="preserve"> via email before </w:t>
      </w:r>
      <w:r>
        <w:rPr>
          <w:rFonts w:eastAsia="Times New Roman" w:cstheme="minorHAnsi"/>
          <w:b/>
          <w:bCs/>
        </w:rPr>
        <w:t>1</w:t>
      </w:r>
      <w:r>
        <w:rPr>
          <w:rFonts w:hint="default" w:eastAsia="Times New Roman" w:cstheme="minorHAnsi"/>
          <w:b/>
          <w:bCs/>
          <w:lang w:val="en-US"/>
        </w:rPr>
        <w:t>1</w:t>
      </w:r>
      <w:r>
        <w:rPr>
          <w:rFonts w:eastAsia="Times New Roman" w:cstheme="minorHAnsi"/>
          <w:b/>
          <w:bCs/>
        </w:rPr>
        <w:t>th February 2026</w:t>
      </w:r>
      <w:r>
        <w:rPr>
          <w:rFonts w:eastAsia="Times New Roman" w:cstheme="minorHAnsi"/>
        </w:rPr>
        <w:t xml:space="preserve"> to:</w:t>
      </w:r>
    </w:p>
    <w:p w14:paraId="56A09B5B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ascii="Segoe UI Symbol" w:hAnsi="Segoe UI Symbol" w:eastAsia="Times New Roman" w:cs="Segoe UI Symbol"/>
        </w:rPr>
        <w:t>📧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  <w:b/>
          <w:bCs/>
        </w:rPr>
        <w:t xml:space="preserve">Procurement@giscor.org </w:t>
      </w:r>
      <w:r>
        <w:rPr>
          <w:rFonts w:eastAsia="Times New Roman" w:cstheme="minorHAnsi"/>
        </w:rPr>
        <w:br w:type="textWrapping"/>
      </w:r>
      <w:r>
        <w:rPr>
          <w:rFonts w:eastAsia="Times New Roman" w:cstheme="minorHAnsi"/>
        </w:rPr>
        <w:t>(Please quote the tender reference number in the subject line.)</w:t>
      </w:r>
    </w:p>
    <w:p w14:paraId="281CA03B">
      <w:p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Kindly get the tender dossier at </w:t>
      </w:r>
      <w:r>
        <w:rPr>
          <w:rFonts w:eastAsia="Times New Roman" w:cstheme="minorHAnsi"/>
          <w:b/>
          <w:color w:val="002060"/>
          <w:u w:val="single"/>
        </w:rPr>
        <w:t>www.giscor.org</w:t>
      </w:r>
    </w:p>
    <w:p w14:paraId="73EE4E8B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35C35DF9">
      <w:pPr>
        <w:spacing w:after="0" w:line="240" w:lineRule="auto"/>
        <w:rPr>
          <w:rFonts w:eastAsia="Times New Roman" w:cstheme="minorHAnsi"/>
        </w:rPr>
      </w:pPr>
    </w:p>
    <w:sectPr>
      <w:pgSz w:w="12240" w:h="15840"/>
      <w:pgMar w:top="1440" w:right="1440" w:bottom="32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966079"/>
    <w:multiLevelType w:val="multilevel"/>
    <w:tmpl w:val="459660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D1"/>
    <w:rsid w:val="002F17A2"/>
    <w:rsid w:val="00394412"/>
    <w:rsid w:val="00563FD1"/>
    <w:rsid w:val="008543B2"/>
    <w:rsid w:val="008F0E46"/>
    <w:rsid w:val="00972E87"/>
    <w:rsid w:val="00B96795"/>
    <w:rsid w:val="00CB2ACE"/>
    <w:rsid w:val="00CE74B4"/>
    <w:rsid w:val="00DD48FD"/>
    <w:rsid w:val="017D3533"/>
    <w:rsid w:val="022F3D0B"/>
    <w:rsid w:val="04F12429"/>
    <w:rsid w:val="098A5D86"/>
    <w:rsid w:val="0F527130"/>
    <w:rsid w:val="11C56BB4"/>
    <w:rsid w:val="1283026C"/>
    <w:rsid w:val="141E3891"/>
    <w:rsid w:val="14892F40"/>
    <w:rsid w:val="1EB40FB9"/>
    <w:rsid w:val="1FED61F0"/>
    <w:rsid w:val="2722776F"/>
    <w:rsid w:val="2CF57952"/>
    <w:rsid w:val="32E16709"/>
    <w:rsid w:val="3A6A61E5"/>
    <w:rsid w:val="3EA242D1"/>
    <w:rsid w:val="419C74B1"/>
    <w:rsid w:val="43850656"/>
    <w:rsid w:val="45EB6847"/>
    <w:rsid w:val="46BB7E19"/>
    <w:rsid w:val="4A3E54DC"/>
    <w:rsid w:val="4D086C14"/>
    <w:rsid w:val="51923C49"/>
    <w:rsid w:val="57381EA7"/>
    <w:rsid w:val="585B3B37"/>
    <w:rsid w:val="5B1E180D"/>
    <w:rsid w:val="671578AF"/>
    <w:rsid w:val="67554E15"/>
    <w:rsid w:val="676334F7"/>
    <w:rsid w:val="745F2629"/>
    <w:rsid w:val="7473071B"/>
    <w:rsid w:val="7E08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1"/>
    <w:link w:val="11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">
    <w:name w:val="Strong"/>
    <w:basedOn w:val="4"/>
    <w:qFormat/>
    <w:uiPriority w:val="22"/>
    <w:rPr>
      <w:b/>
      <w:bCs/>
    </w:rPr>
  </w:style>
  <w:style w:type="table" w:styleId="9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Heading 2 Char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1">
    <w:name w:val="Heading 3 Char"/>
    <w:basedOn w:val="4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1417</Words>
  <Characters>8082</Characters>
  <Lines>67</Lines>
  <Paragraphs>18</Paragraphs>
  <TotalTime>36</TotalTime>
  <ScaleCrop>false</ScaleCrop>
  <LinksUpToDate>false</LinksUpToDate>
  <CharactersWithSpaces>9481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2026-02-05T14:00:00Z</dcterms:created>
  <dc:creator>DELL</dc:creator>
  <cp:lastModifiedBy>Gbue Zubairu</cp:lastModifiedBy>
  <dcterms:modified xsi:type="dcterms:W3CDTF">2026-02-06T10:39:06Z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B572498AFDD844E3B6A5FFABB37F4D5B_12</vt:lpwstr>
  </property>
</Properties>
</file>