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drawing>
          <wp:inline distT="0" distB="0" distL="0" distR="0">
            <wp:extent cx="30480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48000" cy="1152525"/>
                    </a:xfrm>
                    <a:prstGeom prst="rect">
                      <a:avLst/>
                    </a:prstGeom>
                  </pic:spPr>
                </pic:pic>
              </a:graphicData>
            </a:graphic>
          </wp:inline>
        </w:drawing>
      </w:r>
    </w:p>
    <w:p>
      <w:pPr>
        <w:pBdr>
          <w:bottom w:val="single" w:color="1F3864" w:sz="12" w:space="1"/>
        </w:pBdr>
        <w:spacing w:after="120"/>
        <w:jc w:val="center"/>
      </w:pPr>
      <w:r>
        <w:rPr>
          <w:i/>
          <w:iCs/>
          <w:color w:val="1F3864"/>
          <w:sz w:val="15"/>
          <w:szCs w:val="15"/>
        </w:rPr>
        <w:t xml:space="preserve">Centre for Advocacy, Transparency and Accountability Initiative (CATAI)</w:t>
      </w:r>
    </w:p>
    <w:p>
      <w:pPr>
        <w:spacing w:after="200"/>
      </w:pPr>
    </w:p>
    <w:p>
      <w:pPr>
        <w:spacing w:after="120" w:before="80"/>
        <w:jc w:val="center"/>
      </w:pPr>
      <w:r>
        <w:rPr>
          <w:b/>
          <w:bCs/>
          <w:color w:val="1F3864"/>
          <w:sz w:val="30"/>
          <w:szCs w:val="30"/>
        </w:rPr>
        <w:t xml:space="preserve">NATIONAL OPEN TENDER DOCUMENT</w:t>
      </w:r>
    </w:p>
    <w:p>
      <w:pPr>
        <w:spacing w:after="40" w:before="0" w:line="276"/>
        <w:jc w:val="center"/>
      </w:pPr>
      <w:r>
        <w:rPr>
          <w:b/>
          <w:bCs/>
          <w:color w:val="2E7D32"/>
          <w:sz w:val="24"/>
          <w:szCs w:val="24"/>
        </w:rPr>
        <w:t xml:space="preserve">PROVISION OF VEHICLE HIRE SERVICES FOR FIELD MOBILITY</w:t>
      </w:r>
    </w:p>
    <w:p>
      <w:pPr>
        <w:spacing w:after="240" w:before="0" w:line="276"/>
        <w:jc w:val="center"/>
      </w:pPr>
      <w:r>
        <w:rPr>
          <w:i/>
          <w:iCs/>
          <w:sz w:val="20"/>
          <w:szCs w:val="20"/>
        </w:rPr>
        <w:t xml:space="preserve">Under the COMPASS Year 2 Project</w:t>
      </w:r>
    </w:p>
    <w:tbl>
      <w:tblPr>
        <w:tblW w:type="dxa" w:w="9360"/>
        <w:tblBorders>
          <w:top w:val="single" w:color="808080" w:sz="4"/>
          <w:left w:val="single" w:color="808080" w:sz="4"/>
          <w:bottom w:val="single" w:color="808080" w:sz="4"/>
          <w:right w:val="single" w:color="808080" w:sz="4"/>
          <w:insideH w:val="single" w:color="808080" w:sz="4"/>
          <w:insideV w:val="single" w:color="808080" w:sz="4"/>
        </w:tblBorders>
      </w:tblPr>
      <w:tblGrid>
        <w:gridCol w:w="3400"/>
        <w:gridCol w:w="5960"/>
      </w:tblGrid>
      <w:tr>
        <w:tc>
          <w:tcPr>
            <w:tcW w:type="dxa" w:w="3400"/>
            <w:shd w:fill="D9E1F2" w:color="auto" w:val="clear"/>
            <w:tcMar>
              <w:top w:type="dxa" w:w="40"/>
              <w:left w:type="dxa" w:w="80"/>
              <w:bottom w:type="dxa" w:w="40"/>
              <w:right w:type="dxa" w:w="80"/>
            </w:tcMar>
            <w:vAlign w:val="center"/>
          </w:tcPr>
          <w:p>
            <w:pPr>
              <w:spacing w:after="20" w:before="20" w:line="252"/>
            </w:pPr>
            <w:r>
              <w:rPr>
                <w:b/>
                <w:bCs/>
                <w:sz w:val="19"/>
                <w:szCs w:val="19"/>
              </w:rPr>
              <w:t xml:space="preserve">Tender Reference</w:t>
            </w:r>
          </w:p>
        </w:tc>
        <w:tc>
          <w:tcPr>
            <w:tcW w:type="dxa" w:w="5960"/>
            <w:tcMar>
              <w:top w:type="dxa" w:w="40"/>
              <w:left w:type="dxa" w:w="80"/>
              <w:bottom w:type="dxa" w:w="40"/>
              <w:right w:type="dxa" w:w="80"/>
            </w:tcMar>
            <w:vAlign w:val="center"/>
          </w:tcPr>
          <w:p>
            <w:pPr>
              <w:spacing w:after="20" w:before="20" w:line="252"/>
            </w:pPr>
            <w:r>
              <w:rPr>
                <w:sz w:val="19"/>
                <w:szCs w:val="19"/>
              </w:rPr>
              <w:t xml:space="preserve">2026 / FCDO / NGA-000385-06 (FCDO Year 2) / 136</w:t>
            </w:r>
          </w:p>
        </w:tc>
      </w:tr>
      <w:tr>
        <w:tc>
          <w:tcPr>
            <w:tcW w:type="dxa" w:w="3400"/>
            <w:shd w:fill="D9E1F2" w:color="auto" w:val="clear"/>
            <w:tcMar>
              <w:top w:type="dxa" w:w="40"/>
              <w:left w:type="dxa" w:w="80"/>
              <w:bottom w:type="dxa" w:w="40"/>
              <w:right w:type="dxa" w:w="80"/>
            </w:tcMar>
            <w:vAlign w:val="center"/>
          </w:tcPr>
          <w:p>
            <w:pPr>
              <w:spacing w:after="20" w:before="20" w:line="252"/>
            </w:pPr>
            <w:r>
              <w:rPr>
                <w:b/>
                <w:bCs/>
                <w:sz w:val="19"/>
                <w:szCs w:val="19"/>
              </w:rPr>
              <w:t xml:space="preserve">Procurement Method</w:t>
            </w:r>
          </w:p>
        </w:tc>
        <w:tc>
          <w:tcPr>
            <w:tcW w:type="dxa" w:w="5960"/>
            <w:tcMar>
              <w:top w:type="dxa" w:w="40"/>
              <w:left w:type="dxa" w:w="80"/>
              <w:bottom w:type="dxa" w:w="40"/>
              <w:right w:type="dxa" w:w="80"/>
            </w:tcMar>
            <w:vAlign w:val="center"/>
          </w:tcPr>
          <w:p>
            <w:pPr>
              <w:spacing w:after="20" w:before="20" w:line="252"/>
            </w:pPr>
            <w:r>
              <w:rPr>
                <w:sz w:val="19"/>
                <w:szCs w:val="19"/>
              </w:rPr>
              <w:t xml:space="preserve">National Open Tender</w:t>
            </w:r>
          </w:p>
        </w:tc>
      </w:tr>
      <w:tr>
        <w:tc>
          <w:tcPr>
            <w:tcW w:type="dxa" w:w="3400"/>
            <w:shd w:fill="D9E1F2" w:color="auto" w:val="clear"/>
            <w:tcMar>
              <w:top w:type="dxa" w:w="40"/>
              <w:left w:type="dxa" w:w="80"/>
              <w:bottom w:type="dxa" w:w="40"/>
              <w:right w:type="dxa" w:w="80"/>
            </w:tcMar>
            <w:vAlign w:val="center"/>
          </w:tcPr>
          <w:p>
            <w:pPr>
              <w:spacing w:after="20" w:before="20" w:line="252"/>
            </w:pPr>
            <w:r>
              <w:rPr>
                <w:b/>
                <w:bCs/>
                <w:sz w:val="19"/>
                <w:szCs w:val="19"/>
              </w:rPr>
              <w:t xml:space="preserve">Project</w:t>
            </w:r>
          </w:p>
        </w:tc>
        <w:tc>
          <w:tcPr>
            <w:tcW w:type="dxa" w:w="5960"/>
            <w:tcMar>
              <w:top w:type="dxa" w:w="40"/>
              <w:left w:type="dxa" w:w="80"/>
              <w:bottom w:type="dxa" w:w="40"/>
              <w:right w:type="dxa" w:w="80"/>
            </w:tcMar>
            <w:vAlign w:val="center"/>
          </w:tcPr>
          <w:p>
            <w:pPr>
              <w:spacing w:after="20" w:before="20" w:line="252"/>
            </w:pPr>
            <w:r>
              <w:rPr>
                <w:sz w:val="19"/>
                <w:szCs w:val="19"/>
              </w:rPr>
              <w:t xml:space="preserve">COMPASS Year 2 — NGA-000385-06 (FCDO Year 2)</w:t>
            </w:r>
          </w:p>
        </w:tc>
      </w:tr>
      <w:tr>
        <w:tc>
          <w:tcPr>
            <w:tcW w:type="dxa" w:w="3400"/>
            <w:shd w:fill="D9E1F2" w:color="auto" w:val="clear"/>
            <w:tcMar>
              <w:top w:type="dxa" w:w="40"/>
              <w:left w:type="dxa" w:w="80"/>
              <w:bottom w:type="dxa" w:w="40"/>
              <w:right w:type="dxa" w:w="80"/>
            </w:tcMar>
            <w:vAlign w:val="center"/>
          </w:tcPr>
          <w:p>
            <w:pPr>
              <w:spacing w:after="20" w:before="20" w:line="252"/>
            </w:pPr>
            <w:r>
              <w:rPr>
                <w:b/>
                <w:bCs/>
                <w:sz w:val="19"/>
                <w:szCs w:val="19"/>
              </w:rPr>
              <w:t xml:space="preserve">Donor / Grant</w:t>
            </w:r>
          </w:p>
        </w:tc>
        <w:tc>
          <w:tcPr>
            <w:tcW w:type="dxa" w:w="5960"/>
            <w:tcMar>
              <w:top w:type="dxa" w:w="40"/>
              <w:left w:type="dxa" w:w="80"/>
              <w:bottom w:type="dxa" w:w="40"/>
              <w:right w:type="dxa" w:w="80"/>
            </w:tcMar>
            <w:vAlign w:val="center"/>
          </w:tcPr>
          <w:p>
            <w:pPr>
              <w:spacing w:after="20" w:before="20" w:line="252"/>
            </w:pPr>
            <w:r>
              <w:rPr>
                <w:sz w:val="19"/>
                <w:szCs w:val="19"/>
              </w:rPr>
              <w:t xml:space="preserve">FCDO (implemented with the Danish Refugee Council)</w:t>
            </w:r>
          </w:p>
        </w:tc>
      </w:tr>
      <w:tr>
        <w:tc>
          <w:tcPr>
            <w:tcW w:type="dxa" w:w="3400"/>
            <w:shd w:fill="D9E1F2" w:color="auto" w:val="clear"/>
            <w:tcMar>
              <w:top w:type="dxa" w:w="40"/>
              <w:left w:type="dxa" w:w="80"/>
              <w:bottom w:type="dxa" w:w="40"/>
              <w:right w:type="dxa" w:w="80"/>
            </w:tcMar>
            <w:vAlign w:val="center"/>
          </w:tcPr>
          <w:p>
            <w:pPr>
              <w:spacing w:after="20" w:before="20" w:line="252"/>
            </w:pPr>
            <w:r>
              <w:rPr>
                <w:b/>
                <w:bCs/>
                <w:sz w:val="19"/>
                <w:szCs w:val="19"/>
              </w:rPr>
              <w:t xml:space="preserve">Service Locations</w:t>
            </w:r>
          </w:p>
        </w:tc>
        <w:tc>
          <w:tcPr>
            <w:tcW w:type="dxa" w:w="5960"/>
            <w:tcMar>
              <w:top w:type="dxa" w:w="40"/>
              <w:left w:type="dxa" w:w="80"/>
              <w:bottom w:type="dxa" w:w="40"/>
              <w:right w:type="dxa" w:w="80"/>
            </w:tcMar>
            <w:vAlign w:val="center"/>
          </w:tcPr>
          <w:p>
            <w:pPr>
              <w:spacing w:after="20" w:before="20" w:line="252"/>
            </w:pPr>
            <w:r>
              <w:rPr>
                <w:sz w:val="19"/>
                <w:szCs w:val="19"/>
              </w:rPr>
              <w:t xml:space="preserve">Bama, Banki, Ngala, Gwoza, Damasak and Madagali</w:t>
            </w:r>
          </w:p>
        </w:tc>
      </w:tr>
      <w:tr>
        <w:tc>
          <w:tcPr>
            <w:tcW w:type="dxa" w:w="3400"/>
            <w:shd w:fill="D9E1F2" w:color="auto" w:val="clear"/>
            <w:tcMar>
              <w:top w:type="dxa" w:w="40"/>
              <w:left w:type="dxa" w:w="80"/>
              <w:bottom w:type="dxa" w:w="40"/>
              <w:right w:type="dxa" w:w="80"/>
            </w:tcMar>
            <w:vAlign w:val="center"/>
          </w:tcPr>
          <w:p>
            <w:pPr>
              <w:spacing w:after="20" w:before="20" w:line="252"/>
            </w:pPr>
            <w:r>
              <w:rPr>
                <w:b/>
                <w:bCs/>
                <w:sz w:val="19"/>
                <w:szCs w:val="19"/>
              </w:rPr>
              <w:t xml:space="preserve">Contract Period</w:t>
            </w:r>
          </w:p>
        </w:tc>
        <w:tc>
          <w:tcPr>
            <w:tcW w:type="dxa" w:w="5960"/>
            <w:tcMar>
              <w:top w:type="dxa" w:w="40"/>
              <w:left w:type="dxa" w:w="80"/>
              <w:bottom w:type="dxa" w:w="40"/>
              <w:right w:type="dxa" w:w="80"/>
            </w:tcMar>
            <w:vAlign w:val="center"/>
          </w:tcPr>
          <w:p>
            <w:pPr>
              <w:spacing w:after="20" w:before="20" w:line="252"/>
            </w:pPr>
            <w:r>
              <w:rPr>
                <w:sz w:val="19"/>
                <w:szCs w:val="19"/>
              </w:rPr>
              <w:t xml:space="preserve">1st August, 2026 to 31st March, 2027</w:t>
            </w:r>
          </w:p>
        </w:tc>
      </w:tr>
      <w:tr>
        <w:tc>
          <w:tcPr>
            <w:tcW w:type="dxa" w:w="3400"/>
            <w:shd w:fill="D9E1F2" w:color="auto" w:val="clear"/>
            <w:tcMar>
              <w:top w:type="dxa" w:w="40"/>
              <w:left w:type="dxa" w:w="80"/>
              <w:bottom w:type="dxa" w:w="40"/>
              <w:right w:type="dxa" w:w="80"/>
            </w:tcMar>
            <w:vAlign w:val="center"/>
          </w:tcPr>
          <w:p>
            <w:pPr>
              <w:spacing w:after="20" w:before="20" w:line="252"/>
            </w:pPr>
            <w:r>
              <w:rPr>
                <w:b/>
                <w:bCs/>
                <w:sz w:val="19"/>
                <w:szCs w:val="19"/>
              </w:rPr>
              <w:t xml:space="preserve">Issue Date</w:t>
            </w:r>
          </w:p>
        </w:tc>
        <w:tc>
          <w:tcPr>
            <w:tcW w:type="dxa" w:w="5960"/>
            <w:tcMar>
              <w:top w:type="dxa" w:w="40"/>
              <w:left w:type="dxa" w:w="80"/>
              <w:bottom w:type="dxa" w:w="40"/>
              <w:right w:type="dxa" w:w="80"/>
            </w:tcMar>
            <w:vAlign w:val="center"/>
          </w:tcPr>
          <w:p>
            <w:pPr>
              <w:spacing w:after="20" w:before="20" w:line="252"/>
            </w:pPr>
            <w:r>
              <w:rPr>
                <w:sz w:val="19"/>
                <w:szCs w:val="19"/>
              </w:rPr>
              <w:t xml:space="preserve">23rd July, 2026</w:t>
            </w:r>
          </w:p>
        </w:tc>
      </w:tr>
      <w:tr>
        <w:tc>
          <w:tcPr>
            <w:tcW w:type="dxa" w:w="3400"/>
            <w:shd w:fill="D9E1F2" w:color="auto" w:val="clear"/>
            <w:tcMar>
              <w:top w:type="dxa" w:w="40"/>
              <w:left w:type="dxa" w:w="80"/>
              <w:bottom w:type="dxa" w:w="40"/>
              <w:right w:type="dxa" w:w="80"/>
            </w:tcMar>
            <w:vAlign w:val="center"/>
          </w:tcPr>
          <w:p>
            <w:pPr>
              <w:spacing w:after="20" w:before="20" w:line="252"/>
            </w:pPr>
            <w:r>
              <w:rPr>
                <w:b/>
                <w:bCs/>
                <w:sz w:val="19"/>
                <w:szCs w:val="19"/>
              </w:rPr>
              <w:t xml:space="preserve">Clarification Deadline</w:t>
            </w:r>
          </w:p>
        </w:tc>
        <w:tc>
          <w:tcPr>
            <w:tcW w:type="dxa" w:w="5960"/>
            <w:tcMar>
              <w:top w:type="dxa" w:w="40"/>
              <w:left w:type="dxa" w:w="80"/>
              <w:bottom w:type="dxa" w:w="40"/>
              <w:right w:type="dxa" w:w="80"/>
            </w:tcMar>
            <w:vAlign w:val="center"/>
          </w:tcPr>
          <w:p>
            <w:pPr>
              <w:spacing w:after="20" w:before="20" w:line="252"/>
            </w:pPr>
            <w:r>
              <w:rPr>
                <w:sz w:val="19"/>
                <w:szCs w:val="19"/>
              </w:rPr>
              <w:t xml:space="preserve">30th July, 2026 — 5:00 PM</w:t>
            </w:r>
          </w:p>
        </w:tc>
      </w:tr>
      <w:tr>
        <w:tc>
          <w:tcPr>
            <w:tcW w:type="dxa" w:w="3400"/>
            <w:shd w:fill="D9E1F2" w:color="auto" w:val="clear"/>
            <w:tcMar>
              <w:top w:type="dxa" w:w="40"/>
              <w:left w:type="dxa" w:w="80"/>
              <w:bottom w:type="dxa" w:w="40"/>
              <w:right w:type="dxa" w:w="80"/>
            </w:tcMar>
            <w:vAlign w:val="center"/>
          </w:tcPr>
          <w:p>
            <w:pPr>
              <w:spacing w:after="20" w:before="20" w:line="252"/>
            </w:pPr>
            <w:r>
              <w:rPr>
                <w:b/>
                <w:bCs/>
                <w:sz w:val="19"/>
                <w:szCs w:val="19"/>
              </w:rPr>
              <w:t xml:space="preserve">Submission Deadline</w:t>
            </w:r>
          </w:p>
        </w:tc>
        <w:tc>
          <w:tcPr>
            <w:tcW w:type="dxa" w:w="5960"/>
            <w:tcMar>
              <w:top w:type="dxa" w:w="40"/>
              <w:left w:type="dxa" w:w="80"/>
              <w:bottom w:type="dxa" w:w="40"/>
              <w:right w:type="dxa" w:w="80"/>
            </w:tcMar>
            <w:vAlign w:val="center"/>
          </w:tcPr>
          <w:p>
            <w:pPr>
              <w:spacing w:after="20" w:before="20" w:line="252"/>
            </w:pPr>
            <w:r>
              <w:rPr>
                <w:sz w:val="19"/>
                <w:szCs w:val="19"/>
              </w:rPr>
              <w:t xml:space="preserve">6th August, 2026 — 12:00 PM (Noon)</w:t>
            </w:r>
          </w:p>
        </w:tc>
      </w:tr>
      <w:tr>
        <w:tc>
          <w:tcPr>
            <w:tcW w:type="dxa" w:w="3400"/>
            <w:shd w:fill="D9E1F2" w:color="auto" w:val="clear"/>
            <w:tcMar>
              <w:top w:type="dxa" w:w="40"/>
              <w:left w:type="dxa" w:w="80"/>
              <w:bottom w:type="dxa" w:w="40"/>
              <w:right w:type="dxa" w:w="80"/>
            </w:tcMar>
            <w:vAlign w:val="center"/>
          </w:tcPr>
          <w:p>
            <w:pPr>
              <w:spacing w:after="20" w:before="20" w:line="252"/>
            </w:pPr>
            <w:r>
              <w:rPr>
                <w:b/>
                <w:bCs/>
                <w:sz w:val="19"/>
                <w:szCs w:val="19"/>
              </w:rPr>
              <w:t xml:space="preserve">Tender Opening</w:t>
            </w:r>
          </w:p>
        </w:tc>
        <w:tc>
          <w:tcPr>
            <w:tcW w:type="dxa" w:w="5960"/>
            <w:tcMar>
              <w:top w:type="dxa" w:w="40"/>
              <w:left w:type="dxa" w:w="80"/>
              <w:bottom w:type="dxa" w:w="40"/>
              <w:right w:type="dxa" w:w="80"/>
            </w:tcMar>
            <w:vAlign w:val="center"/>
          </w:tcPr>
          <w:p>
            <w:pPr>
              <w:spacing w:after="20" w:before="20" w:line="252"/>
            </w:pPr>
            <w:r>
              <w:rPr>
                <w:sz w:val="19"/>
                <w:szCs w:val="19"/>
              </w:rPr>
              <w:t xml:space="preserve">7th August, 2026 — 10:00 AM</w:t>
            </w:r>
          </w:p>
        </w:tc>
      </w:tr>
    </w:tbl>
    <w:p>
      <w:pPr>
        <w:spacing w:after="200"/>
      </w:pPr>
    </w:p>
    <w:p>
      <w:pPr>
        <w:spacing w:after="120" w:before="0" w:line="276"/>
        <w:jc w:val="center"/>
      </w:pPr>
      <w:r>
        <w:rPr>
          <w:i/>
          <w:iCs/>
          <w:sz w:val="19"/>
          <w:szCs w:val="19"/>
        </w:rPr>
        <w:t xml:space="preserve">This Tender Document is issued for the purpose of inviting competitive tenders. It does not constitute an offer or a contract. CATAI reserves the right to accept or reject any tender without obligation to give reasons.</w:t>
      </w:r>
    </w:p>
    <w:p>
      <w:r>
        <w:br w:type="page"/>
      </w:r>
    </w:p>
    <w:p>
      <w:pPr>
        <w:keepNext/>
        <w:spacing w:after="100" w:before="200"/>
      </w:pPr>
      <w:r>
        <w:rPr>
          <w:b/>
          <w:bCs/>
          <w:color w:val="1F3864"/>
          <w:sz w:val="24"/>
          <w:szCs w:val="24"/>
        </w:rPr>
        <w:t xml:space="preserve">SECTION 1 — INTRODUCTION AND BACKGROUND</w:t>
      </w:r>
    </w:p>
    <w:p>
      <w:pPr>
        <w:spacing w:after="120" w:before="0" w:line="276"/>
      </w:pPr>
      <w:r>
        <w:rPr>
          <w:sz w:val="21"/>
          <w:szCs w:val="21"/>
        </w:rPr>
        <w:t xml:space="preserve">The Centre for Advocacy, Transparency and Accountability Initiative (CATAI), with support from the Danish Refugee Council (DRC) under the FCDO-funded COMPASS Project, is implementing protection monitoring and community-based protection activities in Bama, Banki, Ngala, Gwoza, Damasak and Madagali LGAs of Borno and Adamawa States.</w:t>
      </w:r>
    </w:p>
    <w:p>
      <w:pPr>
        <w:spacing w:after="120" w:before="0" w:line="276"/>
      </w:pPr>
      <w:r>
        <w:rPr>
          <w:sz w:val="21"/>
          <w:szCs w:val="21"/>
        </w:rPr>
        <w:t xml:space="preserve">To ensure timely and safe delivery of project activities — including protection monitoring, community sensitisation, data collection and beneficiary follow-up — CATAI requires reliable vehicle-hire services for the movement of staff and materials to and within the project locations. CATAI therefore invites eligible service providers to tender for the provision of these services in accordance with this Tender Document.</w:t>
      </w:r>
    </w:p>
    <w:p>
      <w:pPr>
        <w:keepNext/>
        <w:spacing w:after="100" w:before="200"/>
      </w:pPr>
      <w:r>
        <w:rPr>
          <w:b/>
          <w:bCs/>
          <w:color w:val="1F3864"/>
          <w:sz w:val="24"/>
          <w:szCs w:val="24"/>
        </w:rPr>
        <w:t xml:space="preserve">SECTION 2 — SCOPE OF SERVICES AND SCHEDULE OF REQUIREMENTS</w:t>
      </w:r>
    </w:p>
    <w:p>
      <w:pPr>
        <w:spacing w:after="120" w:before="0" w:line="276"/>
      </w:pPr>
      <w:r>
        <w:rPr>
          <w:sz w:val="21"/>
          <w:szCs w:val="21"/>
        </w:rPr>
        <w:t xml:space="preserve">The selected service provider(s) shall provide roadworthy vehicles with experienced drivers to support field mobility across the six (6) service locations for the contract period. The indicative schedule of requirements is set out below. Each location requires an estimated 128 service days (16 days per month over 8 months).</w:t>
      </w:r>
    </w:p>
    <w:tbl>
      <w:tblPr>
        <w:tblW w:type="dxa" w:w="9360"/>
        <w:tblBorders>
          <w:top w:val="single" w:color="808080" w:sz="4"/>
          <w:left w:val="single" w:color="808080" w:sz="4"/>
          <w:bottom w:val="single" w:color="808080" w:sz="4"/>
          <w:right w:val="single" w:color="808080" w:sz="4"/>
          <w:insideH w:val="single" w:color="808080" w:sz="4"/>
          <w:insideV w:val="single" w:color="808080" w:sz="4"/>
        </w:tblBorders>
      </w:tblPr>
      <w:tblGrid>
        <w:gridCol w:w="700"/>
        <w:gridCol w:w="1700"/>
        <w:gridCol w:w="4260"/>
        <w:gridCol w:w="800"/>
        <w:gridCol w:w="1900"/>
      </w:tblGrid>
      <w:tr>
        <w:trPr>
          <w:tblHeader/>
        </w:trPr>
        <w:tc>
          <w:tcPr>
            <w:tcW w:type="dxa" w:w="700"/>
            <w:shd w:fill="1F3864" w:color="auto" w:val="clear"/>
            <w:tcMar>
              <w:top w:type="dxa" w:w="40"/>
              <w:left w:type="dxa" w:w="80"/>
              <w:bottom w:type="dxa" w:w="40"/>
              <w:right w:type="dxa" w:w="80"/>
            </w:tcMar>
            <w:vAlign w:val="center"/>
          </w:tcPr>
          <w:p>
            <w:pPr>
              <w:spacing w:after="20" w:before="20" w:line="252"/>
              <w:jc w:val="center"/>
            </w:pPr>
            <w:r>
              <w:rPr>
                <w:b/>
                <w:bCs/>
                <w:color w:val="FFFFFF"/>
                <w:sz w:val="19"/>
                <w:szCs w:val="19"/>
              </w:rPr>
              <w:t xml:space="preserve">S/N</w:t>
            </w:r>
          </w:p>
        </w:tc>
        <w:tc>
          <w:tcPr>
            <w:tcW w:type="dxa" w:w="1700"/>
            <w:shd w:fill="1F3864" w:color="auto" w:val="clear"/>
            <w:tcMar>
              <w:top w:type="dxa" w:w="40"/>
              <w:left w:type="dxa" w:w="80"/>
              <w:bottom w:type="dxa" w:w="40"/>
              <w:right w:type="dxa" w:w="80"/>
            </w:tcMar>
            <w:vAlign w:val="center"/>
          </w:tcPr>
          <w:p>
            <w:pPr>
              <w:spacing w:after="20" w:before="20" w:line="252"/>
            </w:pPr>
            <w:r>
              <w:rPr>
                <w:b/>
                <w:bCs/>
                <w:color w:val="FFFFFF"/>
                <w:sz w:val="19"/>
                <w:szCs w:val="19"/>
              </w:rPr>
              <w:t xml:space="preserve">Service Location</w:t>
            </w:r>
          </w:p>
        </w:tc>
        <w:tc>
          <w:tcPr>
            <w:tcW w:type="dxa" w:w="4260"/>
            <w:shd w:fill="1F3864" w:color="auto" w:val="clear"/>
            <w:tcMar>
              <w:top w:type="dxa" w:w="40"/>
              <w:left w:type="dxa" w:w="80"/>
              <w:bottom w:type="dxa" w:w="40"/>
              <w:right w:type="dxa" w:w="80"/>
            </w:tcMar>
            <w:vAlign w:val="center"/>
          </w:tcPr>
          <w:p>
            <w:pPr>
              <w:spacing w:after="20" w:before="20" w:line="252"/>
            </w:pPr>
            <w:r>
              <w:rPr>
                <w:b/>
                <w:bCs/>
                <w:color w:val="FFFFFF"/>
                <w:sz w:val="19"/>
                <w:szCs w:val="19"/>
              </w:rPr>
              <w:t xml:space="preserve">Description of Service (Vehicle Type)</w:t>
            </w:r>
          </w:p>
        </w:tc>
        <w:tc>
          <w:tcPr>
            <w:tcW w:type="dxa" w:w="800"/>
            <w:shd w:fill="1F3864" w:color="auto" w:val="clear"/>
            <w:tcMar>
              <w:top w:type="dxa" w:w="40"/>
              <w:left w:type="dxa" w:w="80"/>
              <w:bottom w:type="dxa" w:w="40"/>
              <w:right w:type="dxa" w:w="80"/>
            </w:tcMar>
            <w:vAlign w:val="center"/>
          </w:tcPr>
          <w:p>
            <w:pPr>
              <w:spacing w:after="20" w:before="20" w:line="252"/>
              <w:jc w:val="center"/>
            </w:pPr>
            <w:r>
              <w:rPr>
                <w:b/>
                <w:bCs/>
                <w:color w:val="FFFFFF"/>
                <w:sz w:val="19"/>
                <w:szCs w:val="19"/>
              </w:rPr>
              <w:t xml:space="preserve">Unit</w:t>
            </w:r>
          </w:p>
        </w:tc>
        <w:tc>
          <w:tcPr>
            <w:tcW w:type="dxa" w:w="1900"/>
            <w:shd w:fill="1F3864" w:color="auto" w:val="clear"/>
            <w:tcMar>
              <w:top w:type="dxa" w:w="40"/>
              <w:left w:type="dxa" w:w="80"/>
              <w:bottom w:type="dxa" w:w="40"/>
              <w:right w:type="dxa" w:w="80"/>
            </w:tcMar>
            <w:vAlign w:val="center"/>
          </w:tcPr>
          <w:p>
            <w:pPr>
              <w:spacing w:after="20" w:before="20" w:line="252"/>
              <w:jc w:val="center"/>
            </w:pPr>
            <w:r>
              <w:rPr>
                <w:b/>
                <w:bCs/>
                <w:color w:val="FFFFFF"/>
                <w:sz w:val="19"/>
                <w:szCs w:val="19"/>
              </w:rPr>
              <w:t xml:space="preserve">Total Days</w:t>
            </w:r>
          </w:p>
        </w:tc>
      </w:tr>
      <w:tr>
        <w:tc>
          <w:tcPr>
            <w:tcW w:type="dxa" w:w="700"/>
            <w:tcMar>
              <w:top w:type="dxa" w:w="40"/>
              <w:left w:type="dxa" w:w="80"/>
              <w:bottom w:type="dxa" w:w="40"/>
              <w:right w:type="dxa" w:w="80"/>
            </w:tcMar>
            <w:vAlign w:val="center"/>
          </w:tcPr>
          <w:p>
            <w:pPr>
              <w:spacing w:after="20" w:before="20" w:line="252"/>
              <w:jc w:val="center"/>
            </w:pPr>
            <w:r>
              <w:rPr>
                <w:sz w:val="19"/>
                <w:szCs w:val="19"/>
              </w:rPr>
              <w:t xml:space="preserve">1</w:t>
            </w:r>
          </w:p>
        </w:tc>
        <w:tc>
          <w:tcPr>
            <w:tcW w:type="dxa" w:w="1700"/>
            <w:tcMar>
              <w:top w:type="dxa" w:w="40"/>
              <w:left w:type="dxa" w:w="80"/>
              <w:bottom w:type="dxa" w:w="40"/>
              <w:right w:type="dxa" w:w="80"/>
            </w:tcMar>
            <w:vAlign w:val="center"/>
          </w:tcPr>
          <w:p>
            <w:pPr>
              <w:spacing w:after="20" w:before="20" w:line="252"/>
            </w:pPr>
            <w:r>
              <w:rPr>
                <w:sz w:val="19"/>
                <w:szCs w:val="19"/>
              </w:rPr>
              <w:t xml:space="preserve">Bama</w:t>
            </w:r>
          </w:p>
        </w:tc>
        <w:tc>
          <w:tcPr>
            <w:tcW w:type="dxa" w:w="4260"/>
            <w:tcMar>
              <w:top w:type="dxa" w:w="40"/>
              <w:left w:type="dxa" w:w="80"/>
              <w:bottom w:type="dxa" w:w="40"/>
              <w:right w:type="dxa" w:w="80"/>
            </w:tcMar>
            <w:vAlign w:val="center"/>
          </w:tcPr>
          <w:p>
            <w:pPr>
              <w:spacing w:after="20" w:before="20" w:line="252"/>
            </w:pPr>
            <w:r>
              <w:rPr>
                <w:sz w:val="19"/>
                <w:szCs w:val="19"/>
              </w:rPr>
              <w:t xml:space="preserve">Provision of vehicle services (Tricycle — NAPEP) for protection monitoring activities.</w:t>
            </w:r>
          </w:p>
        </w:tc>
        <w:tc>
          <w:tcPr>
            <w:tcW w:type="dxa" w:w="800"/>
            <w:tcMar>
              <w:top w:type="dxa" w:w="40"/>
              <w:left w:type="dxa" w:w="80"/>
              <w:bottom w:type="dxa" w:w="40"/>
              <w:right w:type="dxa" w:w="80"/>
            </w:tcMar>
            <w:vAlign w:val="center"/>
          </w:tcPr>
          <w:p>
            <w:pPr>
              <w:spacing w:after="20" w:before="20" w:line="252"/>
              <w:jc w:val="center"/>
            </w:pPr>
            <w:r>
              <w:rPr>
                <w:sz w:val="19"/>
                <w:szCs w:val="19"/>
              </w:rPr>
              <w:t xml:space="preserve">Day</w:t>
            </w:r>
          </w:p>
        </w:tc>
        <w:tc>
          <w:tcPr>
            <w:tcW w:type="dxa" w:w="1900"/>
            <w:shd w:fill="F2F2F2" w:color="auto" w:val="clear"/>
            <w:tcMar>
              <w:top w:type="dxa" w:w="40"/>
              <w:left w:type="dxa" w:w="80"/>
              <w:bottom w:type="dxa" w:w="40"/>
              <w:right w:type="dxa" w:w="80"/>
            </w:tcMar>
            <w:vAlign w:val="center"/>
          </w:tcPr>
          <w:p>
            <w:pPr>
              <w:spacing w:after="20" w:before="20" w:line="252"/>
              <w:jc w:val="center"/>
            </w:pPr>
            <w:r>
              <w:rPr>
                <w:sz w:val="19"/>
                <w:szCs w:val="19"/>
              </w:rPr>
              <w:t xml:space="preserve">128</w:t>
            </w:r>
          </w:p>
        </w:tc>
      </w:tr>
      <w:tr>
        <w:tc>
          <w:tcPr>
            <w:tcW w:type="dxa" w:w="700"/>
            <w:tcMar>
              <w:top w:type="dxa" w:w="40"/>
              <w:left w:type="dxa" w:w="80"/>
              <w:bottom w:type="dxa" w:w="40"/>
              <w:right w:type="dxa" w:w="80"/>
            </w:tcMar>
            <w:vAlign w:val="center"/>
          </w:tcPr>
          <w:p>
            <w:pPr>
              <w:spacing w:after="20" w:before="20" w:line="252"/>
              <w:jc w:val="center"/>
            </w:pPr>
            <w:r>
              <w:rPr>
                <w:sz w:val="19"/>
                <w:szCs w:val="19"/>
              </w:rPr>
              <w:t xml:space="preserve">2</w:t>
            </w:r>
          </w:p>
        </w:tc>
        <w:tc>
          <w:tcPr>
            <w:tcW w:type="dxa" w:w="1700"/>
            <w:tcMar>
              <w:top w:type="dxa" w:w="40"/>
              <w:left w:type="dxa" w:w="80"/>
              <w:bottom w:type="dxa" w:w="40"/>
              <w:right w:type="dxa" w:w="80"/>
            </w:tcMar>
            <w:vAlign w:val="center"/>
          </w:tcPr>
          <w:p>
            <w:pPr>
              <w:spacing w:after="20" w:before="20" w:line="252"/>
            </w:pPr>
            <w:r>
              <w:rPr>
                <w:sz w:val="19"/>
                <w:szCs w:val="19"/>
              </w:rPr>
              <w:t xml:space="preserve">Banki</w:t>
            </w:r>
          </w:p>
        </w:tc>
        <w:tc>
          <w:tcPr>
            <w:tcW w:type="dxa" w:w="4260"/>
            <w:tcMar>
              <w:top w:type="dxa" w:w="40"/>
              <w:left w:type="dxa" w:w="80"/>
              <w:bottom w:type="dxa" w:w="40"/>
              <w:right w:type="dxa" w:w="80"/>
            </w:tcMar>
            <w:vAlign w:val="center"/>
          </w:tcPr>
          <w:p>
            <w:pPr>
              <w:spacing w:after="20" w:before="20" w:line="252"/>
            </w:pPr>
            <w:r>
              <w:rPr>
                <w:sz w:val="19"/>
                <w:szCs w:val="19"/>
              </w:rPr>
              <w:t xml:space="preserve">Provision of vehicle services (Tricycle — NAPEP) for protection monitoring activities.</w:t>
            </w:r>
          </w:p>
        </w:tc>
        <w:tc>
          <w:tcPr>
            <w:tcW w:type="dxa" w:w="800"/>
            <w:tcMar>
              <w:top w:type="dxa" w:w="40"/>
              <w:left w:type="dxa" w:w="80"/>
              <w:bottom w:type="dxa" w:w="40"/>
              <w:right w:type="dxa" w:w="80"/>
            </w:tcMar>
            <w:vAlign w:val="center"/>
          </w:tcPr>
          <w:p>
            <w:pPr>
              <w:spacing w:after="20" w:before="20" w:line="252"/>
              <w:jc w:val="center"/>
            </w:pPr>
            <w:r>
              <w:rPr>
                <w:sz w:val="19"/>
                <w:szCs w:val="19"/>
              </w:rPr>
              <w:t xml:space="preserve">Day</w:t>
            </w:r>
          </w:p>
        </w:tc>
        <w:tc>
          <w:tcPr>
            <w:tcW w:type="dxa" w:w="1900"/>
            <w:tcMar>
              <w:top w:type="dxa" w:w="40"/>
              <w:left w:type="dxa" w:w="80"/>
              <w:bottom w:type="dxa" w:w="40"/>
              <w:right w:type="dxa" w:w="80"/>
            </w:tcMar>
            <w:vAlign w:val="center"/>
          </w:tcPr>
          <w:p>
            <w:pPr>
              <w:spacing w:after="20" w:before="20" w:line="252"/>
              <w:jc w:val="center"/>
            </w:pPr>
            <w:r>
              <w:rPr>
                <w:sz w:val="19"/>
                <w:szCs w:val="19"/>
              </w:rPr>
              <w:t xml:space="preserve">128</w:t>
            </w:r>
          </w:p>
        </w:tc>
      </w:tr>
      <w:tr>
        <w:tc>
          <w:tcPr>
            <w:tcW w:type="dxa" w:w="700"/>
            <w:tcMar>
              <w:top w:type="dxa" w:w="40"/>
              <w:left w:type="dxa" w:w="80"/>
              <w:bottom w:type="dxa" w:w="40"/>
              <w:right w:type="dxa" w:w="80"/>
            </w:tcMar>
            <w:vAlign w:val="center"/>
          </w:tcPr>
          <w:p>
            <w:pPr>
              <w:spacing w:after="20" w:before="20" w:line="252"/>
              <w:jc w:val="center"/>
            </w:pPr>
            <w:r>
              <w:rPr>
                <w:sz w:val="19"/>
                <w:szCs w:val="19"/>
              </w:rPr>
              <w:t xml:space="preserve">3</w:t>
            </w:r>
          </w:p>
        </w:tc>
        <w:tc>
          <w:tcPr>
            <w:tcW w:type="dxa" w:w="1700"/>
            <w:tcMar>
              <w:top w:type="dxa" w:w="40"/>
              <w:left w:type="dxa" w:w="80"/>
              <w:bottom w:type="dxa" w:w="40"/>
              <w:right w:type="dxa" w:w="80"/>
            </w:tcMar>
            <w:vAlign w:val="center"/>
          </w:tcPr>
          <w:p>
            <w:pPr>
              <w:spacing w:after="20" w:before="20" w:line="252"/>
            </w:pPr>
            <w:r>
              <w:rPr>
                <w:sz w:val="19"/>
                <w:szCs w:val="19"/>
              </w:rPr>
              <w:t xml:space="preserve">Ngala</w:t>
            </w:r>
          </w:p>
        </w:tc>
        <w:tc>
          <w:tcPr>
            <w:tcW w:type="dxa" w:w="4260"/>
            <w:tcMar>
              <w:top w:type="dxa" w:w="40"/>
              <w:left w:type="dxa" w:w="80"/>
              <w:bottom w:type="dxa" w:w="40"/>
              <w:right w:type="dxa" w:w="80"/>
            </w:tcMar>
            <w:vAlign w:val="center"/>
          </w:tcPr>
          <w:p>
            <w:pPr>
              <w:spacing w:after="20" w:before="20" w:line="252"/>
            </w:pPr>
            <w:r>
              <w:rPr>
                <w:sz w:val="19"/>
                <w:szCs w:val="19"/>
              </w:rPr>
              <w:t xml:space="preserve">Provision of transport services (Tricycle — NAPEP) for protection monitoring activities.</w:t>
            </w:r>
          </w:p>
        </w:tc>
        <w:tc>
          <w:tcPr>
            <w:tcW w:type="dxa" w:w="800"/>
            <w:tcMar>
              <w:top w:type="dxa" w:w="40"/>
              <w:left w:type="dxa" w:w="80"/>
              <w:bottom w:type="dxa" w:w="40"/>
              <w:right w:type="dxa" w:w="80"/>
            </w:tcMar>
            <w:vAlign w:val="center"/>
          </w:tcPr>
          <w:p>
            <w:pPr>
              <w:spacing w:after="20" w:before="20" w:line="252"/>
              <w:jc w:val="center"/>
            </w:pPr>
            <w:r>
              <w:rPr>
                <w:sz w:val="19"/>
                <w:szCs w:val="19"/>
              </w:rPr>
              <w:t xml:space="preserve">Day</w:t>
            </w:r>
          </w:p>
        </w:tc>
        <w:tc>
          <w:tcPr>
            <w:tcW w:type="dxa" w:w="1900"/>
            <w:shd w:fill="F2F2F2" w:color="auto" w:val="clear"/>
            <w:tcMar>
              <w:top w:type="dxa" w:w="40"/>
              <w:left w:type="dxa" w:w="80"/>
              <w:bottom w:type="dxa" w:w="40"/>
              <w:right w:type="dxa" w:w="80"/>
            </w:tcMar>
            <w:vAlign w:val="center"/>
          </w:tcPr>
          <w:p>
            <w:pPr>
              <w:spacing w:after="20" w:before="20" w:line="252"/>
              <w:jc w:val="center"/>
            </w:pPr>
            <w:r>
              <w:rPr>
                <w:sz w:val="19"/>
                <w:szCs w:val="19"/>
              </w:rPr>
              <w:t xml:space="preserve">128</w:t>
            </w:r>
          </w:p>
        </w:tc>
      </w:tr>
      <w:tr>
        <w:tc>
          <w:tcPr>
            <w:tcW w:type="dxa" w:w="700"/>
            <w:tcMar>
              <w:top w:type="dxa" w:w="40"/>
              <w:left w:type="dxa" w:w="80"/>
              <w:bottom w:type="dxa" w:w="40"/>
              <w:right w:type="dxa" w:w="80"/>
            </w:tcMar>
            <w:vAlign w:val="center"/>
          </w:tcPr>
          <w:p>
            <w:pPr>
              <w:spacing w:after="20" w:before="20" w:line="252"/>
              <w:jc w:val="center"/>
            </w:pPr>
            <w:r>
              <w:rPr>
                <w:sz w:val="19"/>
                <w:szCs w:val="19"/>
              </w:rPr>
              <w:t xml:space="preserve">4</w:t>
            </w:r>
          </w:p>
        </w:tc>
        <w:tc>
          <w:tcPr>
            <w:tcW w:type="dxa" w:w="1700"/>
            <w:tcMar>
              <w:top w:type="dxa" w:w="40"/>
              <w:left w:type="dxa" w:w="80"/>
              <w:bottom w:type="dxa" w:w="40"/>
              <w:right w:type="dxa" w:w="80"/>
            </w:tcMar>
            <w:vAlign w:val="center"/>
          </w:tcPr>
          <w:p>
            <w:pPr>
              <w:spacing w:after="20" w:before="20" w:line="252"/>
            </w:pPr>
            <w:r>
              <w:rPr>
                <w:sz w:val="19"/>
                <w:szCs w:val="19"/>
              </w:rPr>
              <w:t xml:space="preserve">Gwoza</w:t>
            </w:r>
          </w:p>
        </w:tc>
        <w:tc>
          <w:tcPr>
            <w:tcW w:type="dxa" w:w="4260"/>
            <w:tcMar>
              <w:top w:type="dxa" w:w="40"/>
              <w:left w:type="dxa" w:w="80"/>
              <w:bottom w:type="dxa" w:w="40"/>
              <w:right w:type="dxa" w:w="80"/>
            </w:tcMar>
            <w:vAlign w:val="center"/>
          </w:tcPr>
          <w:p>
            <w:pPr>
              <w:spacing w:after="20" w:before="20" w:line="252"/>
            </w:pPr>
            <w:r>
              <w:rPr>
                <w:sz w:val="19"/>
                <w:szCs w:val="19"/>
              </w:rPr>
              <w:t xml:space="preserve">Provision of transport services (Tricycle — NAPEP) for protection monitoring activities.</w:t>
            </w:r>
          </w:p>
        </w:tc>
        <w:tc>
          <w:tcPr>
            <w:tcW w:type="dxa" w:w="800"/>
            <w:tcMar>
              <w:top w:type="dxa" w:w="40"/>
              <w:left w:type="dxa" w:w="80"/>
              <w:bottom w:type="dxa" w:w="40"/>
              <w:right w:type="dxa" w:w="80"/>
            </w:tcMar>
            <w:vAlign w:val="center"/>
          </w:tcPr>
          <w:p>
            <w:pPr>
              <w:spacing w:after="20" w:before="20" w:line="252"/>
              <w:jc w:val="center"/>
            </w:pPr>
            <w:r>
              <w:rPr>
                <w:sz w:val="19"/>
                <w:szCs w:val="19"/>
              </w:rPr>
              <w:t xml:space="preserve">Day</w:t>
            </w:r>
          </w:p>
        </w:tc>
        <w:tc>
          <w:tcPr>
            <w:tcW w:type="dxa" w:w="1900"/>
            <w:tcMar>
              <w:top w:type="dxa" w:w="40"/>
              <w:left w:type="dxa" w:w="80"/>
              <w:bottom w:type="dxa" w:w="40"/>
              <w:right w:type="dxa" w:w="80"/>
            </w:tcMar>
            <w:vAlign w:val="center"/>
          </w:tcPr>
          <w:p>
            <w:pPr>
              <w:spacing w:after="20" w:before="20" w:line="252"/>
              <w:jc w:val="center"/>
            </w:pPr>
            <w:r>
              <w:rPr>
                <w:sz w:val="19"/>
                <w:szCs w:val="19"/>
              </w:rPr>
              <w:t xml:space="preserve">128</w:t>
            </w:r>
          </w:p>
        </w:tc>
      </w:tr>
      <w:tr>
        <w:tc>
          <w:tcPr>
            <w:tcW w:type="dxa" w:w="700"/>
            <w:tcMar>
              <w:top w:type="dxa" w:w="40"/>
              <w:left w:type="dxa" w:w="80"/>
              <w:bottom w:type="dxa" w:w="40"/>
              <w:right w:type="dxa" w:w="80"/>
            </w:tcMar>
            <w:vAlign w:val="center"/>
          </w:tcPr>
          <w:p>
            <w:pPr>
              <w:spacing w:after="20" w:before="20" w:line="252"/>
              <w:jc w:val="center"/>
            </w:pPr>
            <w:r>
              <w:rPr>
                <w:sz w:val="19"/>
                <w:szCs w:val="19"/>
              </w:rPr>
              <w:t xml:space="preserve">5</w:t>
            </w:r>
          </w:p>
        </w:tc>
        <w:tc>
          <w:tcPr>
            <w:tcW w:type="dxa" w:w="1700"/>
            <w:tcMar>
              <w:top w:type="dxa" w:w="40"/>
              <w:left w:type="dxa" w:w="80"/>
              <w:bottom w:type="dxa" w:w="40"/>
              <w:right w:type="dxa" w:w="80"/>
            </w:tcMar>
            <w:vAlign w:val="center"/>
          </w:tcPr>
          <w:p>
            <w:pPr>
              <w:spacing w:after="20" w:before="20" w:line="252"/>
            </w:pPr>
            <w:r>
              <w:rPr>
                <w:sz w:val="19"/>
                <w:szCs w:val="19"/>
              </w:rPr>
              <w:t xml:space="preserve">Madagali</w:t>
            </w:r>
          </w:p>
        </w:tc>
        <w:tc>
          <w:tcPr>
            <w:tcW w:type="dxa" w:w="4260"/>
            <w:tcMar>
              <w:top w:type="dxa" w:w="40"/>
              <w:left w:type="dxa" w:w="80"/>
              <w:bottom w:type="dxa" w:w="40"/>
              <w:right w:type="dxa" w:w="80"/>
            </w:tcMar>
            <w:vAlign w:val="center"/>
          </w:tcPr>
          <w:p>
            <w:pPr>
              <w:spacing w:after="20" w:before="20" w:line="252"/>
            </w:pPr>
            <w:r>
              <w:rPr>
                <w:sz w:val="19"/>
                <w:szCs w:val="19"/>
              </w:rPr>
              <w:t xml:space="preserve">Provision of transport services (Tricycle — NAPEP) for protection monitoring activities.</w:t>
            </w:r>
          </w:p>
        </w:tc>
        <w:tc>
          <w:tcPr>
            <w:tcW w:type="dxa" w:w="800"/>
            <w:tcMar>
              <w:top w:type="dxa" w:w="40"/>
              <w:left w:type="dxa" w:w="80"/>
              <w:bottom w:type="dxa" w:w="40"/>
              <w:right w:type="dxa" w:w="80"/>
            </w:tcMar>
            <w:vAlign w:val="center"/>
          </w:tcPr>
          <w:p>
            <w:pPr>
              <w:spacing w:after="20" w:before="20" w:line="252"/>
              <w:jc w:val="center"/>
            </w:pPr>
            <w:r>
              <w:rPr>
                <w:sz w:val="19"/>
                <w:szCs w:val="19"/>
              </w:rPr>
              <w:t xml:space="preserve">Day</w:t>
            </w:r>
          </w:p>
        </w:tc>
        <w:tc>
          <w:tcPr>
            <w:tcW w:type="dxa" w:w="1900"/>
            <w:shd w:fill="F2F2F2" w:color="auto" w:val="clear"/>
            <w:tcMar>
              <w:top w:type="dxa" w:w="40"/>
              <w:left w:type="dxa" w:w="80"/>
              <w:bottom w:type="dxa" w:w="40"/>
              <w:right w:type="dxa" w:w="80"/>
            </w:tcMar>
            <w:vAlign w:val="center"/>
          </w:tcPr>
          <w:p>
            <w:pPr>
              <w:spacing w:after="20" w:before="20" w:line="252"/>
              <w:jc w:val="center"/>
            </w:pPr>
            <w:r>
              <w:rPr>
                <w:sz w:val="19"/>
                <w:szCs w:val="19"/>
              </w:rPr>
              <w:t xml:space="preserve">128</w:t>
            </w:r>
          </w:p>
        </w:tc>
      </w:tr>
      <w:tr>
        <w:tc>
          <w:tcPr>
            <w:tcW w:type="dxa" w:w="700"/>
            <w:tcMar>
              <w:top w:type="dxa" w:w="40"/>
              <w:left w:type="dxa" w:w="80"/>
              <w:bottom w:type="dxa" w:w="40"/>
              <w:right w:type="dxa" w:w="80"/>
            </w:tcMar>
            <w:vAlign w:val="center"/>
          </w:tcPr>
          <w:p>
            <w:pPr>
              <w:spacing w:after="20" w:before="20" w:line="252"/>
              <w:jc w:val="center"/>
            </w:pPr>
            <w:r>
              <w:rPr>
                <w:sz w:val="19"/>
                <w:szCs w:val="19"/>
              </w:rPr>
              <w:t xml:space="preserve">6</w:t>
            </w:r>
          </w:p>
        </w:tc>
        <w:tc>
          <w:tcPr>
            <w:tcW w:type="dxa" w:w="1700"/>
            <w:tcMar>
              <w:top w:type="dxa" w:w="40"/>
              <w:left w:type="dxa" w:w="80"/>
              <w:bottom w:type="dxa" w:w="40"/>
              <w:right w:type="dxa" w:w="80"/>
            </w:tcMar>
            <w:vAlign w:val="center"/>
          </w:tcPr>
          <w:p>
            <w:pPr>
              <w:spacing w:after="20" w:before="20" w:line="252"/>
            </w:pPr>
            <w:r>
              <w:rPr>
                <w:sz w:val="19"/>
                <w:szCs w:val="19"/>
              </w:rPr>
              <w:t xml:space="preserve">Damasak</w:t>
            </w:r>
          </w:p>
        </w:tc>
        <w:tc>
          <w:tcPr>
            <w:tcW w:type="dxa" w:w="4260"/>
            <w:tcMar>
              <w:top w:type="dxa" w:w="40"/>
              <w:left w:type="dxa" w:w="80"/>
              <w:bottom w:type="dxa" w:w="40"/>
              <w:right w:type="dxa" w:w="80"/>
            </w:tcMar>
            <w:vAlign w:val="center"/>
          </w:tcPr>
          <w:p>
            <w:pPr>
              <w:spacing w:after="20" w:before="20" w:line="252"/>
            </w:pPr>
            <w:r>
              <w:rPr>
                <w:sz w:val="19"/>
                <w:szCs w:val="19"/>
              </w:rPr>
              <w:t xml:space="preserve">Provision of vehicle services (Saloon Golf Wagon or Mercedes Wagon) for protection monitoring activities.</w:t>
            </w:r>
          </w:p>
        </w:tc>
        <w:tc>
          <w:tcPr>
            <w:tcW w:type="dxa" w:w="800"/>
            <w:tcMar>
              <w:top w:type="dxa" w:w="40"/>
              <w:left w:type="dxa" w:w="80"/>
              <w:bottom w:type="dxa" w:w="40"/>
              <w:right w:type="dxa" w:w="80"/>
            </w:tcMar>
            <w:vAlign w:val="center"/>
          </w:tcPr>
          <w:p>
            <w:pPr>
              <w:spacing w:after="20" w:before="20" w:line="252"/>
              <w:jc w:val="center"/>
            </w:pPr>
            <w:r>
              <w:rPr>
                <w:sz w:val="19"/>
                <w:szCs w:val="19"/>
              </w:rPr>
              <w:t xml:space="preserve">Day</w:t>
            </w:r>
          </w:p>
        </w:tc>
        <w:tc>
          <w:tcPr>
            <w:tcW w:type="dxa" w:w="1900"/>
            <w:tcMar>
              <w:top w:type="dxa" w:w="40"/>
              <w:left w:type="dxa" w:w="80"/>
              <w:bottom w:type="dxa" w:w="40"/>
              <w:right w:type="dxa" w:w="80"/>
            </w:tcMar>
            <w:vAlign w:val="center"/>
          </w:tcPr>
          <w:p>
            <w:pPr>
              <w:spacing w:after="20" w:before="20" w:line="252"/>
              <w:jc w:val="center"/>
            </w:pPr>
            <w:r>
              <w:rPr>
                <w:sz w:val="19"/>
                <w:szCs w:val="19"/>
              </w:rPr>
              <w:t xml:space="preserve">128</w:t>
            </w:r>
          </w:p>
        </w:tc>
      </w:tr>
    </w:tbl>
    <w:p>
      <w:pPr>
        <w:spacing w:after="80"/>
      </w:pPr>
    </w:p>
    <w:p>
      <w:pPr>
        <w:spacing w:after="120" w:before="0" w:line="276"/>
      </w:pPr>
      <w:r>
        <w:rPr>
          <w:b/>
          <w:bCs/>
          <w:sz w:val="19"/>
          <w:szCs w:val="19"/>
        </w:rPr>
        <w:t xml:space="preserve">Note: </w:t>
      </w:r>
      <w:r>
        <w:rPr>
          <w:i/>
          <w:iCs/>
          <w:sz w:val="19"/>
          <w:szCs w:val="19"/>
        </w:rPr>
        <w:t xml:space="preserve">Quantities are estimates based on planned field activities and may vary with operational need. Payment shall be made only for services actually rendered and verified.</w:t>
      </w:r>
    </w:p>
    <w:p>
      <w:pPr>
        <w:keepNext/>
        <w:spacing w:after="100" w:before="200"/>
      </w:pPr>
      <w:r>
        <w:rPr>
          <w:b/>
          <w:bCs/>
          <w:color w:val="1F3864"/>
          <w:sz w:val="24"/>
          <w:szCs w:val="24"/>
        </w:rPr>
        <w:t xml:space="preserve">SECTION 3 — VEHICLE SPECIFICATIONS AND SERVICE REQUIREMENTS</w:t>
      </w:r>
    </w:p>
    <w:p>
      <w:pPr>
        <w:spacing w:after="120" w:before="0" w:line="276"/>
      </w:pPr>
      <w:r>
        <w:rPr>
          <w:sz w:val="21"/>
          <w:szCs w:val="21"/>
        </w:rPr>
        <w:t xml:space="preserve">The service provider shall, at its own cost, meet the following minimum requirements:</w:t>
      </w:r>
    </w:p>
    <w:p>
      <w:pPr>
        <w:pStyle w:val="ListParagraph"/>
        <w:numPr>
          <w:ilvl w:val="0"/>
          <w:numId w:val="1"/>
        </w:numPr>
        <w:spacing w:after="60" w:line="264"/>
      </w:pPr>
      <w:r>
        <w:rPr>
          <w:sz w:val="21"/>
          <w:szCs w:val="21"/>
        </w:rPr>
        <w:t xml:space="preserve">Provide vehicles suitable for field missions in hard-to-reach and rough-terrain LGAs.</w:t>
      </w:r>
    </w:p>
    <w:p>
      <w:pPr>
        <w:pStyle w:val="ListParagraph"/>
        <w:numPr>
          <w:ilvl w:val="0"/>
          <w:numId w:val="1"/>
        </w:numPr>
        <w:spacing w:after="60" w:line="264"/>
      </w:pPr>
      <w:r>
        <w:rPr>
          <w:sz w:val="21"/>
          <w:szCs w:val="21"/>
        </w:rPr>
        <w:t xml:space="preserve">Ensure that all vehicles are roadworthy, in good mechanical condition, and (where possible) air-conditioned.</w:t>
      </w:r>
    </w:p>
    <w:p>
      <w:pPr>
        <w:pStyle w:val="ListParagraph"/>
        <w:numPr>
          <w:ilvl w:val="0"/>
          <w:numId w:val="1"/>
        </w:numPr>
        <w:spacing w:after="60" w:line="264"/>
      </w:pPr>
      <w:r>
        <w:rPr>
          <w:sz w:val="21"/>
          <w:szCs w:val="21"/>
        </w:rPr>
        <w:t xml:space="preserve">Fit each vehicle with basic safety equipment — spare tyre, jack, fire extinguisher and first-aid kit — and functional seat belts for all passengers.</w:t>
      </w:r>
    </w:p>
    <w:p>
      <w:pPr>
        <w:pStyle w:val="ListParagraph"/>
        <w:numPr>
          <w:ilvl w:val="0"/>
          <w:numId w:val="1"/>
        </w:numPr>
        <w:spacing w:after="60" w:line="264"/>
      </w:pPr>
      <w:r>
        <w:rPr>
          <w:sz w:val="21"/>
          <w:szCs w:val="21"/>
        </w:rPr>
        <w:t xml:space="preserve">Provide experienced drivers who are familiar with the operational areas and the prevailing security context.</w:t>
      </w:r>
    </w:p>
    <w:p>
      <w:pPr>
        <w:pStyle w:val="ListParagraph"/>
        <w:numPr>
          <w:ilvl w:val="0"/>
          <w:numId w:val="1"/>
        </w:numPr>
        <w:spacing w:after="60" w:line="264"/>
      </w:pPr>
      <w:r>
        <w:rPr>
          <w:sz w:val="21"/>
          <w:szCs w:val="21"/>
        </w:rPr>
        <w:t xml:space="preserve">Ensure all vehicles have valid registration, insurance and roadworthiness certificates throughout the contract period.</w:t>
      </w:r>
    </w:p>
    <w:p>
      <w:pPr>
        <w:pStyle w:val="ListParagraph"/>
        <w:numPr>
          <w:ilvl w:val="0"/>
          <w:numId w:val="1"/>
        </w:numPr>
        <w:spacing w:after="60" w:line="264"/>
      </w:pPr>
      <w:r>
        <w:rPr>
          <w:sz w:val="21"/>
          <w:szCs w:val="21"/>
        </w:rPr>
        <w:t xml:space="preserve">Keep all vehicles fuelled, serviced and maintained at the service provider’s own cost.</w:t>
      </w:r>
    </w:p>
    <w:p>
      <w:pPr>
        <w:pStyle w:val="ListParagraph"/>
        <w:numPr>
          <w:ilvl w:val="0"/>
          <w:numId w:val="1"/>
        </w:numPr>
        <w:spacing w:after="60" w:line="264"/>
      </w:pPr>
      <w:r>
        <w:rPr>
          <w:sz w:val="21"/>
          <w:szCs w:val="21"/>
        </w:rPr>
        <w:t xml:space="preserve">Be flexible to respond to CATAI’s travel schedules, including weekend or emergency deployments where necessary.</w:t>
      </w:r>
    </w:p>
    <w:p>
      <w:pPr>
        <w:spacing w:after="40" w:before="80" w:line="276"/>
      </w:pPr>
      <w:r>
        <w:rPr>
          <w:b/>
          <w:bCs/>
          <w:sz w:val="21"/>
          <w:szCs w:val="21"/>
        </w:rPr>
        <w:t xml:space="preserve">Vehicle categories:</w:t>
      </w:r>
    </w:p>
    <w:p>
      <w:pPr>
        <w:pStyle w:val="ListParagraph"/>
        <w:numPr>
          <w:ilvl w:val="0"/>
          <w:numId w:val="1"/>
        </w:numPr>
        <w:spacing w:after="60" w:line="264"/>
      </w:pPr>
      <w:r>
        <w:rPr>
          <w:sz w:val="21"/>
          <w:szCs w:val="21"/>
        </w:rPr>
        <w:t xml:space="preserve">Tricycle (NAPEP) — for Bama, Banki, Ngala, Gwoza and Madagali: in good mechanical condition, with a competent, registered rider.</w:t>
      </w:r>
    </w:p>
    <w:p>
      <w:pPr>
        <w:pStyle w:val="ListParagraph"/>
        <w:numPr>
          <w:ilvl w:val="0"/>
          <w:numId w:val="1"/>
        </w:numPr>
        <w:spacing w:after="60" w:line="264"/>
      </w:pPr>
      <w:r>
        <w:rPr>
          <w:sz w:val="21"/>
          <w:szCs w:val="21"/>
        </w:rPr>
        <w:t xml:space="preserve">Saloon Golf Wagon or Mercedes Wagon — for Damasak: minimum 4 passenger seats, petrol with efficient fuel consumption, and not more than 8 years old.</w:t>
      </w:r>
    </w:p>
    <w:p>
      <w:pPr>
        <w:keepNext/>
        <w:spacing w:after="100" w:before="200"/>
      </w:pPr>
      <w:r>
        <w:rPr>
          <w:b/>
          <w:bCs/>
          <w:color w:val="1F3864"/>
          <w:sz w:val="24"/>
          <w:szCs w:val="24"/>
        </w:rPr>
        <w:t xml:space="preserve">SECTION 4 — ELIGIBILITY AND QUALIFICATION CRITERIA</w:t>
      </w:r>
    </w:p>
    <w:p>
      <w:pPr>
        <w:spacing w:after="120" w:before="0" w:line="276"/>
      </w:pPr>
      <w:r>
        <w:rPr>
          <w:sz w:val="21"/>
          <w:szCs w:val="21"/>
        </w:rPr>
        <w:t xml:space="preserve">To be considered, a vendor must satisfy ALL of the following mandatory requirements. Each requirement is assessed on a Pass/Fail basis; a single failure disqualifies the tender from further evaluation.</w:t>
      </w:r>
    </w:p>
    <w:tbl>
      <w:tblPr>
        <w:tblW w:type="dxa" w:w="9360"/>
        <w:tblBorders>
          <w:top w:val="single" w:color="808080" w:sz="4"/>
          <w:left w:val="single" w:color="808080" w:sz="4"/>
          <w:bottom w:val="single" w:color="808080" w:sz="4"/>
          <w:right w:val="single" w:color="808080" w:sz="4"/>
          <w:insideH w:val="single" w:color="808080" w:sz="4"/>
          <w:insideV w:val="single" w:color="808080" w:sz="4"/>
        </w:tblBorders>
      </w:tblPr>
      <w:tblGrid>
        <w:gridCol w:w="600"/>
        <w:gridCol w:w="8760"/>
      </w:tblGrid>
      <w:tr>
        <w:trPr>
          <w:tblHeader/>
        </w:trPr>
        <w:tc>
          <w:tcPr>
            <w:tcW w:type="dxa" w:w="600"/>
            <w:shd w:fill="1F3864" w:color="auto" w:val="clear"/>
            <w:tcMar>
              <w:top w:type="dxa" w:w="40"/>
              <w:left w:type="dxa" w:w="80"/>
              <w:bottom w:type="dxa" w:w="40"/>
              <w:right w:type="dxa" w:w="80"/>
            </w:tcMar>
            <w:vAlign w:val="center"/>
          </w:tcPr>
          <w:p>
            <w:pPr>
              <w:spacing w:after="20" w:before="20" w:line="252"/>
              <w:jc w:val="center"/>
            </w:pPr>
            <w:r>
              <w:rPr>
                <w:b/>
                <w:bCs/>
                <w:color w:val="FFFFFF"/>
                <w:sz w:val="19"/>
                <w:szCs w:val="19"/>
              </w:rPr>
              <w:t xml:space="preserve">#</w:t>
            </w:r>
          </w:p>
        </w:tc>
        <w:tc>
          <w:tcPr>
            <w:tcW w:type="dxa" w:w="8760"/>
            <w:shd w:fill="1F3864" w:color="auto" w:val="clear"/>
            <w:tcMar>
              <w:top w:type="dxa" w:w="40"/>
              <w:left w:type="dxa" w:w="80"/>
              <w:bottom w:type="dxa" w:w="40"/>
              <w:right w:type="dxa" w:w="80"/>
            </w:tcMar>
            <w:vAlign w:val="center"/>
          </w:tcPr>
          <w:p>
            <w:pPr>
              <w:spacing w:after="20" w:before="20" w:line="252"/>
            </w:pPr>
            <w:r>
              <w:rPr>
                <w:b/>
                <w:bCs/>
                <w:color w:val="FFFFFF"/>
                <w:sz w:val="19"/>
                <w:szCs w:val="19"/>
              </w:rPr>
              <w:t xml:space="preserve">Mandatory Eligibility Requirement (each supported by documentary evidence)</w:t>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1</w:t>
            </w:r>
          </w:p>
        </w:tc>
        <w:tc>
          <w:tcPr>
            <w:tcW w:type="dxa" w:w="8760"/>
            <w:tcMar>
              <w:top w:type="dxa" w:w="40"/>
              <w:left w:type="dxa" w:w="80"/>
              <w:bottom w:type="dxa" w:w="40"/>
              <w:right w:type="dxa" w:w="80"/>
            </w:tcMar>
            <w:vAlign w:val="center"/>
          </w:tcPr>
          <w:p>
            <w:pPr>
              <w:spacing w:after="20" w:before="20" w:line="252"/>
            </w:pPr>
            <w:r>
              <w:rPr>
                <w:sz w:val="19"/>
                <w:szCs w:val="19"/>
              </w:rPr>
              <w:t xml:space="preserve">Valid CAC Certificate of Incorporation or Business Name Registration.</w:t>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2</w:t>
            </w:r>
          </w:p>
        </w:tc>
        <w:tc>
          <w:tcPr>
            <w:tcW w:type="dxa" w:w="8760"/>
            <w:tcMar>
              <w:top w:type="dxa" w:w="40"/>
              <w:left w:type="dxa" w:w="80"/>
              <w:bottom w:type="dxa" w:w="40"/>
              <w:right w:type="dxa" w:w="80"/>
            </w:tcMar>
            <w:vAlign w:val="center"/>
          </w:tcPr>
          <w:p>
            <w:pPr>
              <w:spacing w:after="20" w:before="20" w:line="252"/>
            </w:pPr>
            <w:r>
              <w:rPr>
                <w:sz w:val="19"/>
                <w:szCs w:val="19"/>
              </w:rPr>
              <w:t xml:space="preserve">Current Tax Clearance Certificate and valid Tax Identification Number (TIN).</w:t>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3</w:t>
            </w:r>
          </w:p>
        </w:tc>
        <w:tc>
          <w:tcPr>
            <w:tcW w:type="dxa" w:w="8760"/>
            <w:tcMar>
              <w:top w:type="dxa" w:w="40"/>
              <w:left w:type="dxa" w:w="80"/>
              <w:bottom w:type="dxa" w:w="40"/>
              <w:right w:type="dxa" w:w="80"/>
            </w:tcMar>
            <w:vAlign w:val="center"/>
          </w:tcPr>
          <w:p>
            <w:pPr>
              <w:spacing w:after="20" w:before="20" w:line="252"/>
            </w:pPr>
            <w:r>
              <w:rPr>
                <w:sz w:val="19"/>
                <w:szCs w:val="19"/>
              </w:rPr>
              <w:t xml:space="preserve">Evidence of at least three (3) similar vehicle-hire / transport service contracts executed within the last five (5) years.</w:t>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4</w:t>
            </w:r>
          </w:p>
        </w:tc>
        <w:tc>
          <w:tcPr>
            <w:tcW w:type="dxa" w:w="8760"/>
            <w:tcMar>
              <w:top w:type="dxa" w:w="40"/>
              <w:left w:type="dxa" w:w="80"/>
              <w:bottom w:type="dxa" w:w="40"/>
              <w:right w:type="dxa" w:w="80"/>
            </w:tcMar>
            <w:vAlign w:val="center"/>
          </w:tcPr>
          <w:p>
            <w:pPr>
              <w:spacing w:after="20" w:before="20" w:line="252"/>
            </w:pPr>
            <w:r>
              <w:rPr>
                <w:sz w:val="19"/>
                <w:szCs w:val="19"/>
              </w:rPr>
              <w:t xml:space="preserve">Audited financial statements (last 2 years) OR bank statements (last 6 months) demonstrating financial capacity.</w:t>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5</w:t>
            </w:r>
          </w:p>
        </w:tc>
        <w:tc>
          <w:tcPr>
            <w:tcW w:type="dxa" w:w="8760"/>
            <w:tcMar>
              <w:top w:type="dxa" w:w="40"/>
              <w:left w:type="dxa" w:w="80"/>
              <w:bottom w:type="dxa" w:w="40"/>
              <w:right w:type="dxa" w:w="80"/>
            </w:tcMar>
            <w:vAlign w:val="center"/>
          </w:tcPr>
          <w:p>
            <w:pPr>
              <w:spacing w:after="20" w:before="20" w:line="252"/>
            </w:pPr>
            <w:r>
              <w:rPr>
                <w:sz w:val="19"/>
                <w:szCs w:val="19"/>
              </w:rPr>
              <w:t xml:space="preserve">Verifiable evidence of a fleet capable of covering the required LGAs, with valid vehicle registration, insurance and roadworthiness particulars.</w:t>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6</w:t>
            </w:r>
          </w:p>
        </w:tc>
        <w:tc>
          <w:tcPr>
            <w:tcW w:type="dxa" w:w="8760"/>
            <w:tcMar>
              <w:top w:type="dxa" w:w="40"/>
              <w:left w:type="dxa" w:w="80"/>
              <w:bottom w:type="dxa" w:w="40"/>
              <w:right w:type="dxa" w:w="80"/>
            </w:tcMar>
            <w:vAlign w:val="center"/>
          </w:tcPr>
          <w:p>
            <w:pPr>
              <w:spacing w:after="20" w:before="20" w:line="252"/>
            </w:pPr>
            <w:r>
              <w:rPr>
                <w:sz w:val="19"/>
                <w:szCs w:val="19"/>
              </w:rPr>
              <w:t xml:space="preserve">Signed Declaration of Impartiality, Confidentiality and Conflict of Interest (where required) and a signed Tender/Bid Submission Form.</w:t>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7</w:t>
            </w:r>
          </w:p>
        </w:tc>
        <w:tc>
          <w:tcPr>
            <w:tcW w:type="dxa" w:w="8760"/>
            <w:tcMar>
              <w:top w:type="dxa" w:w="40"/>
              <w:left w:type="dxa" w:w="80"/>
              <w:bottom w:type="dxa" w:w="40"/>
              <w:right w:type="dxa" w:w="80"/>
            </w:tcMar>
            <w:vAlign w:val="center"/>
          </w:tcPr>
          <w:p>
            <w:pPr>
              <w:spacing w:after="20" w:before="20" w:line="252"/>
            </w:pPr>
            <w:r>
              <w:rPr>
                <w:sz w:val="19"/>
                <w:szCs w:val="19"/>
              </w:rPr>
              <w:t xml:space="preserve">Vendor not appearing on any debarment, suspension, sanction or ineligibility list.</w:t>
            </w:r>
          </w:p>
        </w:tc>
      </w:tr>
    </w:tbl>
    <w:p>
      <w:pPr>
        <w:keepNext/>
        <w:spacing w:after="100" w:before="200"/>
      </w:pPr>
      <w:r>
        <w:rPr>
          <w:b/>
          <w:bCs/>
          <w:color w:val="1F3864"/>
          <w:sz w:val="24"/>
          <w:szCs w:val="24"/>
        </w:rPr>
        <w:t xml:space="preserve">SECTION 5 — INSTRUCTIONS TO BIDDERS</w:t>
      </w:r>
    </w:p>
    <w:p>
      <w:pPr>
        <w:pStyle w:val="ListParagraph"/>
        <w:numPr>
          <w:ilvl w:val="0"/>
          <w:numId w:val="2"/>
        </w:numPr>
        <w:spacing w:after="60" w:line="264"/>
      </w:pPr>
      <w:r>
        <w:rPr>
          <w:sz w:val="21"/>
          <w:szCs w:val="21"/>
        </w:rPr>
        <w:t xml:space="preserve">Tenders must be prepared in English and all prices quoted in Nigerian Naira (₦).</w:t>
      </w:r>
    </w:p>
    <w:p>
      <w:pPr>
        <w:pStyle w:val="ListParagraph"/>
        <w:numPr>
          <w:ilvl w:val="0"/>
          <w:numId w:val="2"/>
        </w:numPr>
        <w:spacing w:after="60" w:line="264"/>
      </w:pPr>
      <w:r>
        <w:rPr>
          <w:sz w:val="21"/>
          <w:szCs w:val="21"/>
        </w:rPr>
        <w:t xml:space="preserve">Tenders shall be submitted in two (2) separately sealed envelopes — Technical Proposal (Envelope 1) and Financial Proposal (Envelope 2) — enclosed within one outer envelope.</w:t>
      </w:r>
    </w:p>
    <w:p>
      <w:pPr>
        <w:pStyle w:val="ListParagraph"/>
        <w:numPr>
          <w:ilvl w:val="0"/>
          <w:numId w:val="2"/>
        </w:numPr>
        <w:spacing w:after="60" w:line="264"/>
      </w:pPr>
      <w:r>
        <w:rPr>
          <w:sz w:val="21"/>
          <w:szCs w:val="21"/>
        </w:rPr>
        <w:t xml:space="preserve">The Technical Proposal shall contain the company profile, all eligibility documents, evidence of similar contracts, fleet list with vehicle particulars, mobilisation/logistics plan, and the signed Tender Submission Form.</w:t>
      </w:r>
    </w:p>
    <w:p>
      <w:pPr>
        <w:pStyle w:val="ListParagraph"/>
        <w:numPr>
          <w:ilvl w:val="0"/>
          <w:numId w:val="2"/>
        </w:numPr>
        <w:spacing w:after="60" w:line="264"/>
      </w:pPr>
      <w:r>
        <w:rPr>
          <w:sz w:val="21"/>
          <w:szCs w:val="21"/>
        </w:rPr>
        <w:t xml:space="preserve">The Financial Proposal shall contain the completed Pricing Schedule (Section “Pricing Schedule”), quotation validity, and bank details. Prices must be inclusive of all costs, fuel, maintenance and driver charges.</w:t>
      </w:r>
    </w:p>
    <w:p>
      <w:pPr>
        <w:pStyle w:val="ListParagraph"/>
        <w:numPr>
          <w:ilvl w:val="0"/>
          <w:numId w:val="2"/>
        </w:numPr>
        <w:spacing w:after="60" w:line="264"/>
      </w:pPr>
      <w:r>
        <w:rPr>
          <w:sz w:val="21"/>
          <w:szCs w:val="21"/>
        </w:rPr>
        <w:t xml:space="preserve">Tenders must remain valid for a minimum of sixty (60) days from the submission deadline.</w:t>
      </w:r>
    </w:p>
    <w:p>
      <w:pPr>
        <w:pStyle w:val="ListParagraph"/>
        <w:numPr>
          <w:ilvl w:val="0"/>
          <w:numId w:val="2"/>
        </w:numPr>
        <w:spacing w:after="60" w:line="264"/>
      </w:pPr>
      <w:r>
        <w:rPr>
          <w:sz w:val="21"/>
          <w:szCs w:val="21"/>
        </w:rPr>
        <w:t xml:space="preserve">Each bidder bears its own costs of preparing and submitting its tender; CATAI is not liable for any such costs.</w:t>
      </w:r>
    </w:p>
    <w:p>
      <w:pPr>
        <w:pStyle w:val="ListParagraph"/>
        <w:numPr>
          <w:ilvl w:val="0"/>
          <w:numId w:val="2"/>
        </w:numPr>
        <w:spacing w:after="60" w:line="264"/>
      </w:pPr>
      <w:r>
        <w:rPr>
          <w:sz w:val="21"/>
          <w:szCs w:val="21"/>
        </w:rPr>
        <w:t xml:space="preserve">Any attempt to influence the evaluation, or any misrepresentation, shall result in disqualification.</w:t>
      </w:r>
    </w:p>
    <w:p>
      <w:pPr>
        <w:keepNext/>
        <w:spacing w:after="100" w:before="200"/>
      </w:pPr>
      <w:r>
        <w:rPr>
          <w:b/>
          <w:bCs/>
          <w:color w:val="1F3864"/>
          <w:sz w:val="24"/>
          <w:szCs w:val="24"/>
        </w:rPr>
        <w:t xml:space="preserve">SECTION 6 — SUBMISSION REQUIREMENTS AND DEADLINE</w:t>
      </w:r>
    </w:p>
    <w:p>
      <w:pPr>
        <w:spacing w:after="120" w:before="0" w:line="276"/>
      </w:pPr>
      <w:r>
        <w:rPr>
          <w:b/>
          <w:bCs/>
          <w:sz w:val="21"/>
          <w:szCs w:val="21"/>
        </w:rPr>
        <w:t xml:space="preserve">Submission deadline: 6th August, 2026 at 12:00 PM (Noon). </w:t>
      </w:r>
      <w:r>
        <w:rPr>
          <w:sz w:val="21"/>
          <w:szCs w:val="21"/>
        </w:rPr>
        <w:t xml:space="preserve">Tenders received after this time will be rejected unopened.</w:t>
      </w:r>
    </w:p>
    <w:p>
      <w:pPr>
        <w:spacing w:after="120" w:before="0" w:line="276"/>
      </w:pPr>
      <w:r>
        <w:rPr>
          <w:sz w:val="21"/>
          <w:szCs w:val="21"/>
        </w:rPr>
        <w:t xml:space="preserve">The outer envelope must be clearly labelled: “NATIONAL OPEN TENDER — 2026/FCDO/NGA-000385-06/136 — VEHICLE HIRE — DO NOT OPEN BEFORE 7th August, 2026.” Electronic submissions may be sent to procurement@cataing.org with the subject line “TENDER SUBMISSION — 2026/FCDO/NGA-000385-06/136 — VEHICLE HIRE.” Submissions are addressed to the CATAI office nearest to the service location.</w:t>
      </w:r>
    </w:p>
    <w:p>
      <w:pPr>
        <w:keepNext/>
        <w:spacing w:after="100" w:before="200"/>
      </w:pPr>
      <w:r>
        <w:rPr>
          <w:b/>
          <w:bCs/>
          <w:color w:val="1F3864"/>
          <w:sz w:val="24"/>
          <w:szCs w:val="24"/>
        </w:rPr>
        <w:t xml:space="preserve">SECTION 7 — TENDER OPENING AND EVALUATION PROCESS</w:t>
      </w:r>
    </w:p>
    <w:p>
      <w:pPr>
        <w:spacing w:after="120" w:before="0" w:line="276"/>
      </w:pPr>
      <w:r>
        <w:rPr>
          <w:sz w:val="21"/>
          <w:szCs w:val="21"/>
        </w:rPr>
        <w:t xml:space="preserve">Tenders will be opened on 7th August, 2026 at 10:00 AM by the CATAI Procurement Committee. Evaluation follows a two-stage process:</w:t>
      </w:r>
    </w:p>
    <w:p>
      <w:pPr>
        <w:pStyle w:val="ListParagraph"/>
        <w:numPr>
          <w:ilvl w:val="0"/>
          <w:numId w:val="1"/>
        </w:numPr>
        <w:spacing w:after="60" w:line="264"/>
      </w:pPr>
      <w:r>
        <w:rPr>
          <w:b/>
          <w:bCs/>
          <w:sz w:val="21"/>
          <w:szCs w:val="21"/>
        </w:rPr>
        <w:t xml:space="preserve">Stage 1 — Eligibility (Pass/Fail): </w:t>
      </w:r>
      <w:r>
        <w:rPr>
          <w:sz w:val="21"/>
          <w:szCs w:val="21"/>
        </w:rPr>
        <w:t xml:space="preserve">the mandatory requirements in Section 4 are verified. Only vendors that pass proceed to technical evaluation.</w:t>
      </w:r>
    </w:p>
    <w:p>
      <w:pPr>
        <w:pStyle w:val="ListParagraph"/>
        <w:numPr>
          <w:ilvl w:val="0"/>
          <w:numId w:val="1"/>
        </w:numPr>
        <w:spacing w:after="60" w:line="264"/>
      </w:pPr>
      <w:r>
        <w:rPr>
          <w:b/>
          <w:bCs/>
          <w:sz w:val="21"/>
          <w:szCs w:val="21"/>
        </w:rPr>
        <w:t xml:space="preserve">Stage 2 — Technical Evaluation (80 points): </w:t>
      </w:r>
      <w:r>
        <w:rPr>
          <w:sz w:val="21"/>
          <w:szCs w:val="21"/>
        </w:rPr>
        <w:t xml:space="preserve">compliant tenders are scored against the criteria in Section 8. The minimum technical pass mark is 48 out of 80 (60%).</w:t>
      </w:r>
    </w:p>
    <w:p>
      <w:pPr>
        <w:pStyle w:val="ListParagraph"/>
        <w:numPr>
          <w:ilvl w:val="0"/>
          <w:numId w:val="1"/>
        </w:numPr>
        <w:spacing w:after="60" w:line="264"/>
      </w:pPr>
      <w:r>
        <w:rPr>
          <w:b/>
          <w:bCs/>
          <w:sz w:val="21"/>
          <w:szCs w:val="21"/>
        </w:rPr>
        <w:t xml:space="preserve">Financial Evaluation: </w:t>
      </w:r>
      <w:r>
        <w:rPr>
          <w:sz w:val="21"/>
          <w:szCs w:val="21"/>
        </w:rPr>
        <w:t xml:space="preserve">the financial proposals of technically responsive tenders are then compared. In line with CATAI policy, award is recommended to the lowest compliant bidder that meets the technical threshold.</w:t>
      </w:r>
    </w:p>
    <w:p>
      <w:pPr>
        <w:keepNext/>
        <w:spacing w:after="100" w:before="200"/>
      </w:pPr>
      <w:r>
        <w:rPr>
          <w:b/>
          <w:bCs/>
          <w:color w:val="1F3864"/>
          <w:sz w:val="24"/>
          <w:szCs w:val="24"/>
        </w:rPr>
        <w:t xml:space="preserve">SECTION 8 — EVALUATION CRITERIA (TECHNICAL: 80 POINTS)</w:t>
      </w:r>
    </w:p>
    <w:p>
      <w:pPr>
        <w:pStyle w:val="ListParagraph"/>
        <w:numPr>
          <w:ilvl w:val="0"/>
          <w:numId w:val="1"/>
        </w:numPr>
        <w:spacing w:after="60" w:line="264"/>
      </w:pPr>
      <w:r>
        <w:rPr>
          <w:b/>
          <w:bCs/>
          <w:sz w:val="21"/>
          <w:szCs w:val="21"/>
        </w:rPr>
        <w:t xml:space="preserve">Criterion 1 — Fleet compliance with vehicle specifications (40 points): </w:t>
      </w:r>
      <w:r>
        <w:rPr>
          <w:sz w:val="21"/>
          <w:szCs w:val="21"/>
        </w:rPr>
        <w:t xml:space="preserve">availability and condition of the required vehicle types across all six LGAs, age, capacity and safety equipment.</w:t>
      </w:r>
    </w:p>
    <w:p>
      <w:pPr>
        <w:pStyle w:val="ListParagraph"/>
        <w:numPr>
          <w:ilvl w:val="0"/>
          <w:numId w:val="1"/>
        </w:numPr>
        <w:spacing w:after="60" w:line="264"/>
      </w:pPr>
      <w:r>
        <w:rPr>
          <w:b/>
          <w:bCs/>
          <w:sz w:val="21"/>
          <w:szCs w:val="21"/>
        </w:rPr>
        <w:t xml:space="preserve">Criterion 2 — Operational capacity and drivers (20 points): </w:t>
      </w:r>
      <w:r>
        <w:rPr>
          <w:sz w:val="21"/>
          <w:szCs w:val="21"/>
        </w:rPr>
        <w:t xml:space="preserve">experienced drivers familiar with the operational areas and security context, valid vehicle documentation, and flexibility for weekend/emergency deployments.</w:t>
      </w:r>
    </w:p>
    <w:p>
      <w:pPr>
        <w:pStyle w:val="ListParagraph"/>
        <w:numPr>
          <w:ilvl w:val="0"/>
          <w:numId w:val="1"/>
        </w:numPr>
        <w:spacing w:after="60" w:line="264"/>
      </w:pPr>
      <w:r>
        <w:rPr>
          <w:b/>
          <w:bCs/>
          <w:sz w:val="21"/>
          <w:szCs w:val="21"/>
        </w:rPr>
        <w:t xml:space="preserve">Criterion 3 — Mobilisation timeline and logistics (20 points): </w:t>
      </w:r>
      <w:r>
        <w:rPr>
          <w:sz w:val="21"/>
          <w:szCs w:val="21"/>
        </w:rPr>
        <w:t xml:space="preserve">ability to mobilise for the contract start, maintenance and fuelling at own cost, and contingency arrangements for breakdowns.</w:t>
      </w:r>
    </w:p>
    <w:p>
      <w:pPr>
        <w:spacing w:after="120" w:before="40" w:line="276"/>
      </w:pPr>
      <w:r>
        <w:rPr>
          <w:sz w:val="21"/>
          <w:szCs w:val="21"/>
        </w:rPr>
        <w:t xml:space="preserve">The detailed committee scoring is recorded on the Individual Technical Evaluation Scoresheet issued with this tender.</w:t>
      </w:r>
    </w:p>
    <w:p>
      <w:pPr>
        <w:keepNext/>
        <w:spacing w:after="100" w:before="200"/>
      </w:pPr>
      <w:r>
        <w:rPr>
          <w:b/>
          <w:bCs/>
          <w:color w:val="1F3864"/>
          <w:sz w:val="24"/>
          <w:szCs w:val="24"/>
        </w:rPr>
        <w:t xml:space="preserve">SECTION 9 — TERMS AND CONDITIONS OF CONTRACT</w:t>
      </w:r>
    </w:p>
    <w:p>
      <w:pPr>
        <w:pStyle w:val="ListParagraph"/>
        <w:numPr>
          <w:ilvl w:val="0"/>
          <w:numId w:val="2"/>
        </w:numPr>
        <w:spacing w:after="60" w:line="264"/>
      </w:pPr>
      <w:r>
        <w:rPr>
          <w:sz w:val="21"/>
          <w:szCs w:val="21"/>
        </w:rPr>
        <w:t xml:space="preserve">Contract period: 1st August, 2026 to 31st March, 2027, or as varied in writing by CATAI.</w:t>
      </w:r>
    </w:p>
    <w:p>
      <w:pPr>
        <w:pStyle w:val="ListParagraph"/>
        <w:numPr>
          <w:ilvl w:val="0"/>
          <w:numId w:val="2"/>
        </w:numPr>
        <w:spacing w:after="60" w:line="264"/>
      </w:pPr>
      <w:r>
        <w:rPr>
          <w:sz w:val="21"/>
          <w:szCs w:val="21"/>
        </w:rPr>
        <w:t xml:space="preserve">Payment shall be made in arrears, upon submission of an invoice supported by verified service records for the period, and upon satisfactory completion of the agreed deliverables. No advance payment shall be made unless otherwise agreed in writing.</w:t>
      </w:r>
    </w:p>
    <w:p>
      <w:pPr>
        <w:pStyle w:val="ListParagraph"/>
        <w:numPr>
          <w:ilvl w:val="0"/>
          <w:numId w:val="2"/>
        </w:numPr>
        <w:spacing w:after="60" w:line="264"/>
      </w:pPr>
      <w:r>
        <w:rPr>
          <w:b/>
          <w:bCs/>
          <w:sz w:val="21"/>
          <w:szCs w:val="21"/>
        </w:rPr>
        <w:t xml:space="preserve">Withholding Tax (WHT) at the rate of 10% </w:t>
      </w:r>
      <w:r>
        <w:rPr>
          <w:sz w:val="21"/>
          <w:szCs w:val="21"/>
        </w:rPr>
        <w:t xml:space="preserve">applicable to vehicle-hire / rental services shall be deducted at source from each payment and remitted to the relevant tax authority. Stamp duty is not applicable.</w:t>
      </w:r>
    </w:p>
    <w:p>
      <w:pPr>
        <w:pStyle w:val="ListParagraph"/>
        <w:numPr>
          <w:ilvl w:val="0"/>
          <w:numId w:val="2"/>
        </w:numPr>
        <w:spacing w:after="60" w:line="264"/>
      </w:pPr>
      <w:r>
        <w:rPr>
          <w:sz w:val="21"/>
          <w:szCs w:val="21"/>
        </w:rPr>
        <w:t xml:space="preserve">The service provider shall maintain valid insurance and shall be responsible for all vehicle maintenance, fuelling, licensing and driver welfare costs.</w:t>
      </w:r>
    </w:p>
    <w:p>
      <w:pPr>
        <w:pStyle w:val="ListParagraph"/>
        <w:numPr>
          <w:ilvl w:val="0"/>
          <w:numId w:val="2"/>
        </w:numPr>
        <w:spacing w:after="60" w:line="264"/>
      </w:pPr>
      <w:r>
        <w:rPr>
          <w:sz w:val="21"/>
          <w:szCs w:val="21"/>
        </w:rPr>
        <w:t xml:space="preserve">CATAI may terminate the contract, in whole or in part, for non-performance, breach of terms, or on reasonable notice, without liability beyond services satisfactorily rendered up to the date of termination.</w:t>
      </w:r>
    </w:p>
    <w:p>
      <w:pPr>
        <w:pStyle w:val="ListParagraph"/>
        <w:numPr>
          <w:ilvl w:val="0"/>
          <w:numId w:val="2"/>
        </w:numPr>
        <w:spacing w:after="60" w:line="264"/>
      </w:pPr>
      <w:r>
        <w:rPr>
          <w:sz w:val="21"/>
          <w:szCs w:val="21"/>
        </w:rPr>
        <w:t xml:space="preserve">The service provider shall comply with CATAI’s safeguarding, security and code-of-conduct requirements at all times.</w:t>
      </w:r>
    </w:p>
    <w:p>
      <w:pPr>
        <w:keepNext/>
        <w:spacing w:after="100" w:before="200"/>
      </w:pPr>
      <w:r>
        <w:rPr>
          <w:b/>
          <w:bCs/>
          <w:color w:val="1F3864"/>
          <w:sz w:val="24"/>
          <w:szCs w:val="24"/>
        </w:rPr>
        <w:t xml:space="preserve">SECTION 10 — FRAUD, CONFIDENTIALITY AND GENERAL PROVISIONS</w:t>
      </w:r>
    </w:p>
    <w:p>
      <w:pPr>
        <w:spacing w:after="120" w:before="0" w:line="276"/>
      </w:pPr>
      <w:r>
        <w:rPr>
          <w:sz w:val="21"/>
          <w:szCs w:val="21"/>
        </w:rPr>
        <w:t xml:space="preserve">CATAI operates a zero-tolerance policy towards fraud, corruption, coercion and collusion. Any vendor found to have engaged in such practices will be disqualified and may be reported to the relevant authorities and donor. All information disclosed in this tender is confidential and must be used solely for the purpose of preparing a tender. CATAI reserves the right to accept or reject any or all tenders, to waive minor informalities, and to annul the process at any stage without incurring any liability.</w:t>
      </w:r>
    </w:p>
    <w:p>
      <w:pPr>
        <w:spacing w:after="120" w:before="80" w:line="276"/>
        <w:jc w:val="center"/>
      </w:pPr>
      <w:r>
        <w:rPr>
          <w:b/>
          <w:bCs/>
          <w:color w:val="1F3864"/>
          <w:sz w:val="20"/>
          <w:szCs w:val="20"/>
        </w:rPr>
        <w:t xml:space="preserve">THIS DOCUMENT IS FOR TENDER PURPOSES ONLY AND DOES NOT CONSTITUTE A CONTRACT.</w:t>
      </w:r>
    </w:p>
    <w:p>
      <w:pPr>
        <w:keepNext/>
        <w:spacing w:after="100" w:before="300"/>
      </w:pPr>
      <w:r>
        <w:rPr>
          <w:b/>
          <w:bCs/>
          <w:color w:val="1F3864"/>
          <w:sz w:val="23"/>
          <w:szCs w:val="23"/>
        </w:rPr>
        <w:t xml:space="preserve">PRICING SCHEDULE (FINANCIAL PROPOSAL — TO BE COMPLETED BY THE BIDDER)</w:t>
      </w:r>
    </w:p>
    <w:p>
      <w:pPr>
        <w:spacing w:after="120" w:before="0" w:line="276"/>
      </w:pPr>
      <w:r>
        <w:rPr>
          <w:sz w:val="21"/>
          <w:szCs w:val="21"/>
        </w:rPr>
        <w:t xml:space="preserve">Bidders must quote an all-inclusive daily rate per vehicle for each location. All prices are in Nigerian Naira (₦) and inclusive of fuel, maintenance, insurance and driver costs. WHT of 10% will be deducted at source at the payment stage.</w:t>
      </w:r>
    </w:p>
    <w:tbl>
      <w:tblPr>
        <w:tblW w:type="dxa" w:w="9360"/>
        <w:tblBorders>
          <w:top w:val="single" w:color="808080" w:sz="4"/>
          <w:left w:val="single" w:color="808080" w:sz="4"/>
          <w:bottom w:val="single" w:color="808080" w:sz="4"/>
          <w:right w:val="single" w:color="808080" w:sz="4"/>
          <w:insideH w:val="single" w:color="808080" w:sz="4"/>
          <w:insideV w:val="single" w:color="808080" w:sz="4"/>
        </w:tblBorders>
      </w:tblPr>
      <w:tblGrid>
        <w:gridCol w:w="600"/>
        <w:gridCol w:w="1400"/>
        <w:gridCol w:w="3160"/>
        <w:gridCol w:w="1100"/>
        <w:gridCol w:w="1550"/>
        <w:gridCol w:w="1550"/>
      </w:tblGrid>
      <w:tr>
        <w:trPr>
          <w:tblHeader/>
        </w:trPr>
        <w:tc>
          <w:tcPr>
            <w:tcW w:type="dxa" w:w="600"/>
            <w:shd w:fill="2E7D32" w:color="auto" w:val="clear"/>
            <w:tcMar>
              <w:top w:type="dxa" w:w="40"/>
              <w:left w:type="dxa" w:w="80"/>
              <w:bottom w:type="dxa" w:w="40"/>
              <w:right w:type="dxa" w:w="80"/>
            </w:tcMar>
            <w:vAlign w:val="center"/>
          </w:tcPr>
          <w:p>
            <w:pPr>
              <w:spacing w:after="20" w:before="20" w:line="252"/>
              <w:jc w:val="center"/>
            </w:pPr>
            <w:r>
              <w:rPr>
                <w:b/>
                <w:bCs/>
                <w:color w:val="FFFFFF"/>
                <w:sz w:val="19"/>
                <w:szCs w:val="19"/>
              </w:rPr>
              <w:t xml:space="preserve">S/N</w:t>
            </w:r>
          </w:p>
        </w:tc>
        <w:tc>
          <w:tcPr>
            <w:tcW w:type="dxa" w:w="1400"/>
            <w:shd w:fill="2E7D32" w:color="auto" w:val="clear"/>
            <w:tcMar>
              <w:top w:type="dxa" w:w="40"/>
              <w:left w:type="dxa" w:w="80"/>
              <w:bottom w:type="dxa" w:w="40"/>
              <w:right w:type="dxa" w:w="80"/>
            </w:tcMar>
            <w:vAlign w:val="center"/>
          </w:tcPr>
          <w:p>
            <w:pPr>
              <w:spacing w:after="20" w:before="20" w:line="252"/>
            </w:pPr>
            <w:r>
              <w:rPr>
                <w:b/>
                <w:bCs/>
                <w:color w:val="FFFFFF"/>
                <w:sz w:val="19"/>
                <w:szCs w:val="19"/>
              </w:rPr>
              <w:t xml:space="preserve">Location</w:t>
            </w:r>
          </w:p>
        </w:tc>
        <w:tc>
          <w:tcPr>
            <w:tcW w:type="dxa" w:w="3160"/>
            <w:shd w:fill="2E7D32" w:color="auto" w:val="clear"/>
            <w:tcMar>
              <w:top w:type="dxa" w:w="40"/>
              <w:left w:type="dxa" w:w="80"/>
              <w:bottom w:type="dxa" w:w="40"/>
              <w:right w:type="dxa" w:w="80"/>
            </w:tcMar>
            <w:vAlign w:val="center"/>
          </w:tcPr>
          <w:p>
            <w:pPr>
              <w:spacing w:after="20" w:before="20" w:line="252"/>
            </w:pPr>
            <w:r>
              <w:rPr>
                <w:b/>
                <w:bCs/>
                <w:color w:val="FFFFFF"/>
                <w:sz w:val="19"/>
                <w:szCs w:val="19"/>
              </w:rPr>
              <w:t xml:space="preserve">Vehicle Type</w:t>
            </w:r>
          </w:p>
        </w:tc>
        <w:tc>
          <w:tcPr>
            <w:tcW w:type="dxa" w:w="1100"/>
            <w:shd w:fill="2E7D32" w:color="auto" w:val="clear"/>
            <w:tcMar>
              <w:top w:type="dxa" w:w="40"/>
              <w:left w:type="dxa" w:w="80"/>
              <w:bottom w:type="dxa" w:w="40"/>
              <w:right w:type="dxa" w:w="80"/>
            </w:tcMar>
            <w:vAlign w:val="center"/>
          </w:tcPr>
          <w:p>
            <w:pPr>
              <w:spacing w:after="20" w:before="20" w:line="252"/>
              <w:jc w:val="center"/>
            </w:pPr>
            <w:r>
              <w:rPr>
                <w:b/>
                <w:bCs/>
                <w:color w:val="FFFFFF"/>
                <w:sz w:val="19"/>
                <w:szCs w:val="19"/>
              </w:rPr>
              <w:t xml:space="preserve">Total Days</w:t>
            </w:r>
          </w:p>
        </w:tc>
        <w:tc>
          <w:tcPr>
            <w:tcW w:type="dxa" w:w="1550"/>
            <w:shd w:fill="2E7D32" w:color="auto" w:val="clear"/>
            <w:tcMar>
              <w:top w:type="dxa" w:w="40"/>
              <w:left w:type="dxa" w:w="80"/>
              <w:bottom w:type="dxa" w:w="40"/>
              <w:right w:type="dxa" w:w="80"/>
            </w:tcMar>
            <w:vAlign w:val="center"/>
          </w:tcPr>
          <w:p>
            <w:pPr>
              <w:spacing w:after="20" w:before="20" w:line="252"/>
              <w:jc w:val="center"/>
            </w:pPr>
            <w:r>
              <w:rPr>
                <w:b/>
                <w:bCs/>
                <w:color w:val="FFFFFF"/>
                <w:sz w:val="19"/>
                <w:szCs w:val="19"/>
              </w:rPr>
              <w:t xml:space="preserve">Unit Rate / Day (₦)</w:t>
            </w:r>
          </w:p>
        </w:tc>
        <w:tc>
          <w:tcPr>
            <w:tcW w:type="dxa" w:w="1550"/>
            <w:shd w:fill="2E7D32" w:color="auto" w:val="clear"/>
            <w:tcMar>
              <w:top w:type="dxa" w:w="40"/>
              <w:left w:type="dxa" w:w="80"/>
              <w:bottom w:type="dxa" w:w="40"/>
              <w:right w:type="dxa" w:w="80"/>
            </w:tcMar>
            <w:vAlign w:val="center"/>
          </w:tcPr>
          <w:p>
            <w:pPr>
              <w:spacing w:after="20" w:before="20" w:line="252"/>
              <w:jc w:val="center"/>
            </w:pPr>
            <w:r>
              <w:rPr>
                <w:b/>
                <w:bCs/>
                <w:color w:val="FFFFFF"/>
                <w:sz w:val="19"/>
                <w:szCs w:val="19"/>
              </w:rPr>
              <w:t xml:space="preserve">Total Amount (₦)</w:t>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1</w:t>
            </w:r>
          </w:p>
        </w:tc>
        <w:tc>
          <w:tcPr>
            <w:tcW w:type="dxa" w:w="1400"/>
            <w:tcMar>
              <w:top w:type="dxa" w:w="40"/>
              <w:left w:type="dxa" w:w="80"/>
              <w:bottom w:type="dxa" w:w="40"/>
              <w:right w:type="dxa" w:w="80"/>
            </w:tcMar>
            <w:vAlign w:val="center"/>
          </w:tcPr>
          <w:p>
            <w:pPr>
              <w:spacing w:after="20" w:before="20" w:line="252"/>
            </w:pPr>
            <w:r>
              <w:rPr>
                <w:sz w:val="19"/>
                <w:szCs w:val="19"/>
              </w:rPr>
              <w:t xml:space="preserve">Bama</w:t>
            </w:r>
          </w:p>
        </w:tc>
        <w:tc>
          <w:tcPr>
            <w:tcW w:type="dxa" w:w="3160"/>
            <w:tcMar>
              <w:top w:type="dxa" w:w="40"/>
              <w:left w:type="dxa" w:w="80"/>
              <w:bottom w:type="dxa" w:w="40"/>
              <w:right w:type="dxa" w:w="80"/>
            </w:tcMar>
            <w:vAlign w:val="center"/>
          </w:tcPr>
          <w:p>
            <w:pPr>
              <w:spacing w:after="20" w:before="20" w:line="252"/>
            </w:pPr>
            <w:r>
              <w:rPr>
                <w:sz w:val="19"/>
                <w:szCs w:val="19"/>
              </w:rPr>
              <w:t xml:space="preserve">Tricycle (NAPEP)</w:t>
            </w:r>
          </w:p>
        </w:tc>
        <w:tc>
          <w:tcPr>
            <w:tcW w:type="dxa" w:w="1100"/>
            <w:tcMar>
              <w:top w:type="dxa" w:w="40"/>
              <w:left w:type="dxa" w:w="80"/>
              <w:bottom w:type="dxa" w:w="40"/>
              <w:right w:type="dxa" w:w="80"/>
            </w:tcMar>
            <w:vAlign w:val="center"/>
          </w:tcPr>
          <w:p>
            <w:pPr>
              <w:spacing w:after="20" w:before="20" w:line="252"/>
              <w:jc w:val="center"/>
            </w:pPr>
            <w:r>
              <w:rPr>
                <w:sz w:val="19"/>
                <w:szCs w:val="19"/>
              </w:rPr>
              <w:t xml:space="preserve">128</w:t>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2</w:t>
            </w:r>
          </w:p>
        </w:tc>
        <w:tc>
          <w:tcPr>
            <w:tcW w:type="dxa" w:w="1400"/>
            <w:tcMar>
              <w:top w:type="dxa" w:w="40"/>
              <w:left w:type="dxa" w:w="80"/>
              <w:bottom w:type="dxa" w:w="40"/>
              <w:right w:type="dxa" w:w="80"/>
            </w:tcMar>
            <w:vAlign w:val="center"/>
          </w:tcPr>
          <w:p>
            <w:pPr>
              <w:spacing w:after="20" w:before="20" w:line="252"/>
            </w:pPr>
            <w:r>
              <w:rPr>
                <w:sz w:val="19"/>
                <w:szCs w:val="19"/>
              </w:rPr>
              <w:t xml:space="preserve">Banki</w:t>
            </w:r>
          </w:p>
        </w:tc>
        <w:tc>
          <w:tcPr>
            <w:tcW w:type="dxa" w:w="3160"/>
            <w:tcMar>
              <w:top w:type="dxa" w:w="40"/>
              <w:left w:type="dxa" w:w="80"/>
              <w:bottom w:type="dxa" w:w="40"/>
              <w:right w:type="dxa" w:w="80"/>
            </w:tcMar>
            <w:vAlign w:val="center"/>
          </w:tcPr>
          <w:p>
            <w:pPr>
              <w:spacing w:after="20" w:before="20" w:line="252"/>
            </w:pPr>
            <w:r>
              <w:rPr>
                <w:sz w:val="19"/>
                <w:szCs w:val="19"/>
              </w:rPr>
              <w:t xml:space="preserve">Tricycle (NAPEP)</w:t>
            </w:r>
          </w:p>
        </w:tc>
        <w:tc>
          <w:tcPr>
            <w:tcW w:type="dxa" w:w="1100"/>
            <w:tcMar>
              <w:top w:type="dxa" w:w="40"/>
              <w:left w:type="dxa" w:w="80"/>
              <w:bottom w:type="dxa" w:w="40"/>
              <w:right w:type="dxa" w:w="80"/>
            </w:tcMar>
            <w:vAlign w:val="center"/>
          </w:tcPr>
          <w:p>
            <w:pPr>
              <w:spacing w:after="20" w:before="20" w:line="252"/>
              <w:jc w:val="center"/>
            </w:pPr>
            <w:r>
              <w:rPr>
                <w:sz w:val="19"/>
                <w:szCs w:val="19"/>
              </w:rPr>
              <w:t xml:space="preserve">128</w:t>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3</w:t>
            </w:r>
          </w:p>
        </w:tc>
        <w:tc>
          <w:tcPr>
            <w:tcW w:type="dxa" w:w="1400"/>
            <w:tcMar>
              <w:top w:type="dxa" w:w="40"/>
              <w:left w:type="dxa" w:w="80"/>
              <w:bottom w:type="dxa" w:w="40"/>
              <w:right w:type="dxa" w:w="80"/>
            </w:tcMar>
            <w:vAlign w:val="center"/>
          </w:tcPr>
          <w:p>
            <w:pPr>
              <w:spacing w:after="20" w:before="20" w:line="252"/>
            </w:pPr>
            <w:r>
              <w:rPr>
                <w:sz w:val="19"/>
                <w:szCs w:val="19"/>
              </w:rPr>
              <w:t xml:space="preserve">Ngala</w:t>
            </w:r>
          </w:p>
        </w:tc>
        <w:tc>
          <w:tcPr>
            <w:tcW w:type="dxa" w:w="3160"/>
            <w:tcMar>
              <w:top w:type="dxa" w:w="40"/>
              <w:left w:type="dxa" w:w="80"/>
              <w:bottom w:type="dxa" w:w="40"/>
              <w:right w:type="dxa" w:w="80"/>
            </w:tcMar>
            <w:vAlign w:val="center"/>
          </w:tcPr>
          <w:p>
            <w:pPr>
              <w:spacing w:after="20" w:before="20" w:line="252"/>
            </w:pPr>
            <w:r>
              <w:rPr>
                <w:sz w:val="19"/>
                <w:szCs w:val="19"/>
              </w:rPr>
              <w:t xml:space="preserve">Tricycle (NAPEP)</w:t>
            </w:r>
          </w:p>
        </w:tc>
        <w:tc>
          <w:tcPr>
            <w:tcW w:type="dxa" w:w="1100"/>
            <w:tcMar>
              <w:top w:type="dxa" w:w="40"/>
              <w:left w:type="dxa" w:w="80"/>
              <w:bottom w:type="dxa" w:w="40"/>
              <w:right w:type="dxa" w:w="80"/>
            </w:tcMar>
            <w:vAlign w:val="center"/>
          </w:tcPr>
          <w:p>
            <w:pPr>
              <w:spacing w:after="20" w:before="20" w:line="252"/>
              <w:jc w:val="center"/>
            </w:pPr>
            <w:r>
              <w:rPr>
                <w:sz w:val="19"/>
                <w:szCs w:val="19"/>
              </w:rPr>
              <w:t xml:space="preserve">128</w:t>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4</w:t>
            </w:r>
          </w:p>
        </w:tc>
        <w:tc>
          <w:tcPr>
            <w:tcW w:type="dxa" w:w="1400"/>
            <w:tcMar>
              <w:top w:type="dxa" w:w="40"/>
              <w:left w:type="dxa" w:w="80"/>
              <w:bottom w:type="dxa" w:w="40"/>
              <w:right w:type="dxa" w:w="80"/>
            </w:tcMar>
            <w:vAlign w:val="center"/>
          </w:tcPr>
          <w:p>
            <w:pPr>
              <w:spacing w:after="20" w:before="20" w:line="252"/>
            </w:pPr>
            <w:r>
              <w:rPr>
                <w:sz w:val="19"/>
                <w:szCs w:val="19"/>
              </w:rPr>
              <w:t xml:space="preserve">Gwoza</w:t>
            </w:r>
          </w:p>
        </w:tc>
        <w:tc>
          <w:tcPr>
            <w:tcW w:type="dxa" w:w="3160"/>
            <w:tcMar>
              <w:top w:type="dxa" w:w="40"/>
              <w:left w:type="dxa" w:w="80"/>
              <w:bottom w:type="dxa" w:w="40"/>
              <w:right w:type="dxa" w:w="80"/>
            </w:tcMar>
            <w:vAlign w:val="center"/>
          </w:tcPr>
          <w:p>
            <w:pPr>
              <w:spacing w:after="20" w:before="20" w:line="252"/>
            </w:pPr>
            <w:r>
              <w:rPr>
                <w:sz w:val="19"/>
                <w:szCs w:val="19"/>
              </w:rPr>
              <w:t xml:space="preserve">Tricycle (NAPEP)</w:t>
            </w:r>
          </w:p>
        </w:tc>
        <w:tc>
          <w:tcPr>
            <w:tcW w:type="dxa" w:w="1100"/>
            <w:tcMar>
              <w:top w:type="dxa" w:w="40"/>
              <w:left w:type="dxa" w:w="80"/>
              <w:bottom w:type="dxa" w:w="40"/>
              <w:right w:type="dxa" w:w="80"/>
            </w:tcMar>
            <w:vAlign w:val="center"/>
          </w:tcPr>
          <w:p>
            <w:pPr>
              <w:spacing w:after="20" w:before="20" w:line="252"/>
              <w:jc w:val="center"/>
            </w:pPr>
            <w:r>
              <w:rPr>
                <w:sz w:val="19"/>
                <w:szCs w:val="19"/>
              </w:rPr>
              <w:t xml:space="preserve">128</w:t>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5</w:t>
            </w:r>
          </w:p>
        </w:tc>
        <w:tc>
          <w:tcPr>
            <w:tcW w:type="dxa" w:w="1400"/>
            <w:tcMar>
              <w:top w:type="dxa" w:w="40"/>
              <w:left w:type="dxa" w:w="80"/>
              <w:bottom w:type="dxa" w:w="40"/>
              <w:right w:type="dxa" w:w="80"/>
            </w:tcMar>
            <w:vAlign w:val="center"/>
          </w:tcPr>
          <w:p>
            <w:pPr>
              <w:spacing w:after="20" w:before="20" w:line="252"/>
            </w:pPr>
            <w:r>
              <w:rPr>
                <w:sz w:val="19"/>
                <w:szCs w:val="19"/>
              </w:rPr>
              <w:t xml:space="preserve">Madagali</w:t>
            </w:r>
          </w:p>
        </w:tc>
        <w:tc>
          <w:tcPr>
            <w:tcW w:type="dxa" w:w="3160"/>
            <w:tcMar>
              <w:top w:type="dxa" w:w="40"/>
              <w:left w:type="dxa" w:w="80"/>
              <w:bottom w:type="dxa" w:w="40"/>
              <w:right w:type="dxa" w:w="80"/>
            </w:tcMar>
            <w:vAlign w:val="center"/>
          </w:tcPr>
          <w:p>
            <w:pPr>
              <w:spacing w:after="20" w:before="20" w:line="252"/>
            </w:pPr>
            <w:r>
              <w:rPr>
                <w:sz w:val="19"/>
                <w:szCs w:val="19"/>
              </w:rPr>
              <w:t xml:space="preserve">Tricycle (NAPEP)</w:t>
            </w:r>
          </w:p>
        </w:tc>
        <w:tc>
          <w:tcPr>
            <w:tcW w:type="dxa" w:w="1100"/>
            <w:tcMar>
              <w:top w:type="dxa" w:w="40"/>
              <w:left w:type="dxa" w:w="80"/>
              <w:bottom w:type="dxa" w:w="40"/>
              <w:right w:type="dxa" w:w="80"/>
            </w:tcMar>
            <w:vAlign w:val="center"/>
          </w:tcPr>
          <w:p>
            <w:pPr>
              <w:spacing w:after="20" w:before="20" w:line="252"/>
              <w:jc w:val="center"/>
            </w:pPr>
            <w:r>
              <w:rPr>
                <w:sz w:val="19"/>
                <w:szCs w:val="19"/>
              </w:rPr>
              <w:t xml:space="preserve">128</w:t>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r>
      <w:tr>
        <w:tc>
          <w:tcPr>
            <w:tcW w:type="dxa" w:w="600"/>
            <w:tcMar>
              <w:top w:type="dxa" w:w="40"/>
              <w:left w:type="dxa" w:w="80"/>
              <w:bottom w:type="dxa" w:w="40"/>
              <w:right w:type="dxa" w:w="80"/>
            </w:tcMar>
            <w:vAlign w:val="center"/>
          </w:tcPr>
          <w:p>
            <w:pPr>
              <w:spacing w:after="20" w:before="20" w:line="252"/>
              <w:jc w:val="center"/>
            </w:pPr>
            <w:r>
              <w:rPr>
                <w:sz w:val="19"/>
                <w:szCs w:val="19"/>
              </w:rPr>
              <w:t xml:space="preserve">6</w:t>
            </w:r>
          </w:p>
        </w:tc>
        <w:tc>
          <w:tcPr>
            <w:tcW w:type="dxa" w:w="1400"/>
            <w:tcMar>
              <w:top w:type="dxa" w:w="40"/>
              <w:left w:type="dxa" w:w="80"/>
              <w:bottom w:type="dxa" w:w="40"/>
              <w:right w:type="dxa" w:w="80"/>
            </w:tcMar>
            <w:vAlign w:val="center"/>
          </w:tcPr>
          <w:p>
            <w:pPr>
              <w:spacing w:after="20" w:before="20" w:line="252"/>
            </w:pPr>
            <w:r>
              <w:rPr>
                <w:sz w:val="19"/>
                <w:szCs w:val="19"/>
              </w:rPr>
              <w:t xml:space="preserve">Damasak</w:t>
            </w:r>
          </w:p>
        </w:tc>
        <w:tc>
          <w:tcPr>
            <w:tcW w:type="dxa" w:w="3160"/>
            <w:tcMar>
              <w:top w:type="dxa" w:w="40"/>
              <w:left w:type="dxa" w:w="80"/>
              <w:bottom w:type="dxa" w:w="40"/>
              <w:right w:type="dxa" w:w="80"/>
            </w:tcMar>
            <w:vAlign w:val="center"/>
          </w:tcPr>
          <w:p>
            <w:pPr>
              <w:spacing w:after="20" w:before="20" w:line="252"/>
            </w:pPr>
            <w:r>
              <w:rPr>
                <w:sz w:val="19"/>
                <w:szCs w:val="19"/>
              </w:rPr>
              <w:t xml:space="preserve">Saloon Golf Wagon / Mercedes Wagon</w:t>
            </w:r>
          </w:p>
        </w:tc>
        <w:tc>
          <w:tcPr>
            <w:tcW w:type="dxa" w:w="1100"/>
            <w:tcMar>
              <w:top w:type="dxa" w:w="40"/>
              <w:left w:type="dxa" w:w="80"/>
              <w:bottom w:type="dxa" w:w="40"/>
              <w:right w:type="dxa" w:w="80"/>
            </w:tcMar>
            <w:vAlign w:val="center"/>
          </w:tcPr>
          <w:p>
            <w:pPr>
              <w:spacing w:after="20" w:before="20" w:line="252"/>
              <w:jc w:val="center"/>
            </w:pPr>
            <w:r>
              <w:rPr>
                <w:sz w:val="19"/>
                <w:szCs w:val="19"/>
              </w:rPr>
              <w:t xml:space="preserve">128</w:t>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c>
          <w:tcPr>
            <w:tcW w:type="dxa" w:w="1550"/>
            <w:tcMar>
              <w:top w:type="dxa" w:w="40"/>
              <w:left w:type="dxa" w:w="80"/>
              <w:bottom w:type="dxa" w:w="40"/>
              <w:right w:type="dxa" w:w="80"/>
            </w:tcMar>
            <w:vAlign w:val="center"/>
          </w:tcPr>
          <w:p>
            <w:pPr>
              <w:spacing w:after="20" w:before="20" w:line="252"/>
            </w:pPr>
            <w:r>
              <w:rPr>
                <w:sz w:val="19"/>
                <w:szCs w:val="19"/>
              </w:rPr>
              <w:t xml:space="preserve"/>
            </w:r>
          </w:p>
        </w:tc>
      </w:tr>
      <w:tr>
        <w:tc>
          <w:tcPr>
            <w:tcW w:type="dxa" w:w="6260"/>
            <w:gridSpan w:val="4"/>
            <w:shd w:fill="D9E1F2" w:color="auto" w:val="clear"/>
            <w:tcMar>
              <w:top w:type="dxa" w:w="40"/>
              <w:left w:type="dxa" w:w="80"/>
              <w:bottom w:type="dxa" w:w="40"/>
              <w:right w:type="dxa" w:w="80"/>
            </w:tcMar>
            <w:vAlign w:val="center"/>
          </w:tcPr>
          <w:p>
            <w:pPr>
              <w:spacing w:after="20" w:before="20" w:line="252"/>
              <w:jc w:val="right"/>
            </w:pPr>
            <w:r>
              <w:rPr>
                <w:b/>
                <w:bCs/>
                <w:sz w:val="19"/>
                <w:szCs w:val="19"/>
              </w:rPr>
              <w:t xml:space="preserve">GRAND TOTAL (₦)</w:t>
            </w:r>
          </w:p>
        </w:tc>
        <w:tc>
          <w:tcPr>
            <w:tcW w:type="dxa" w:w="1550"/>
            <w:shd w:fill="D9E1F2" w:color="auto" w:val="clear"/>
            <w:tcMar>
              <w:top w:type="dxa" w:w="40"/>
              <w:left w:type="dxa" w:w="80"/>
              <w:bottom w:type="dxa" w:w="40"/>
              <w:right w:type="dxa" w:w="80"/>
            </w:tcMar>
            <w:vAlign w:val="center"/>
          </w:tcPr>
          <w:p>
            <w:pPr>
              <w:spacing w:after="20" w:before="20" w:line="252"/>
            </w:pPr>
            <w:r>
              <w:rPr>
                <w:sz w:val="19"/>
                <w:szCs w:val="19"/>
              </w:rPr>
              <w:t xml:space="preserve"/>
            </w:r>
          </w:p>
        </w:tc>
        <w:tc>
          <w:tcPr>
            <w:tcW w:type="dxa" w:w="1550"/>
            <w:shd w:fill="D9E1F2" w:color="auto" w:val="clear"/>
            <w:tcMar>
              <w:top w:type="dxa" w:w="40"/>
              <w:left w:type="dxa" w:w="80"/>
              <w:bottom w:type="dxa" w:w="40"/>
              <w:right w:type="dxa" w:w="80"/>
            </w:tcMar>
            <w:vAlign w:val="center"/>
          </w:tcPr>
          <w:p>
            <w:pPr>
              <w:spacing w:after="20" w:before="20" w:line="252"/>
            </w:pPr>
            <w:r>
              <w:rPr>
                <w:sz w:val="19"/>
                <w:szCs w:val="19"/>
              </w:rPr>
              <w:t xml:space="preserve"/>
            </w:r>
          </w:p>
        </w:tc>
      </w:tr>
    </w:tbl>
    <w:p>
      <w:pPr>
        <w:spacing w:after="120"/>
      </w:pPr>
    </w:p>
    <w:p>
      <w:pPr>
        <w:spacing w:after="60" w:before="0" w:line="276"/>
      </w:pPr>
      <w:r>
        <w:rPr>
          <w:sz w:val="21"/>
          <w:szCs w:val="21"/>
        </w:rPr>
        <w:t xml:space="preserve">Quotation Validity: __________ days      Delivery / Mobilisation Timeline: __________</w:t>
      </w:r>
    </w:p>
    <w:p>
      <w:pPr>
        <w:spacing w:after="60" w:before="0" w:line="276"/>
      </w:pPr>
      <w:r>
        <w:rPr>
          <w:sz w:val="21"/>
          <w:szCs w:val="21"/>
        </w:rPr>
        <w:t xml:space="preserve">Company Name: ______________________________________________</w:t>
      </w:r>
    </w:p>
    <w:p>
      <w:pPr>
        <w:spacing w:after="60" w:before="0" w:line="276"/>
      </w:pPr>
      <w:r>
        <w:rPr>
          <w:sz w:val="21"/>
          <w:szCs w:val="21"/>
        </w:rPr>
        <w:t xml:space="preserve">Authorised Representative (Name &amp; Position): ______________________________________________</w:t>
      </w:r>
    </w:p>
    <w:p>
      <w:pPr>
        <w:spacing w:after="120" w:before="0" w:line="276"/>
      </w:pPr>
      <w:r>
        <w:rPr>
          <w:sz w:val="21"/>
          <w:szCs w:val="21"/>
        </w:rPr>
        <w:t xml:space="preserve">Signature &amp; Stamp: ______________________     Date: ______________________</w:t>
      </w:r>
    </w:p>
    <w:p>
      <w:pPr>
        <w:keepNext/>
        <w:spacing w:after="100" w:before="200"/>
      </w:pPr>
      <w:r>
        <w:rPr>
          <w:b/>
          <w:bCs/>
          <w:color w:val="1F3864"/>
          <w:sz w:val="23"/>
          <w:szCs w:val="23"/>
        </w:rPr>
        <w:t xml:space="preserve">TENDER / BID SUBMISSION FORM</w:t>
      </w:r>
    </w:p>
    <w:p>
      <w:pPr>
        <w:spacing w:after="120" w:before="0" w:line="276"/>
      </w:pPr>
      <w:r>
        <w:rPr>
          <w:sz w:val="21"/>
          <w:szCs w:val="21"/>
        </w:rPr>
        <w:t xml:space="preserve">We, the undersigned, having examined the Tender Document for the Provision of Vehicle Hire Services for Field Mobility (Tender Ref: 2026 / FCDO / NGA-000385-06 (FCDO Year 2) / 136), hereby offer to provide the services in conformity with the said Tender Document. We confirm that this tender is valid for the period stated above, that the information provided is true and accurate, and that we are not subject to any conflict of interest, debarment or sanction. We accept CATAI’s right to accept or reject any tender without giving reasons.</w:t>
      </w:r>
    </w:p>
    <w:p>
      <w:pPr>
        <w:spacing w:after="120"/>
      </w:pPr>
    </w:p>
    <w:p>
      <w:pPr>
        <w:spacing w:after="80" w:before="0" w:line="276"/>
      </w:pPr>
      <w:r>
        <w:rPr>
          <w:sz w:val="21"/>
          <w:szCs w:val="21"/>
        </w:rPr>
        <w:t xml:space="preserve">Name of Authorised Signatory: ______________________________________________</w:t>
      </w:r>
    </w:p>
    <w:p>
      <w:pPr>
        <w:spacing w:after="80" w:before="0" w:line="276"/>
      </w:pPr>
      <w:r>
        <w:rPr>
          <w:sz w:val="21"/>
          <w:szCs w:val="21"/>
        </w:rPr>
        <w:t xml:space="preserve">Position: ______________________________________________</w:t>
      </w:r>
    </w:p>
    <w:p>
      <w:pPr>
        <w:spacing w:after="80" w:before="0" w:line="276"/>
      </w:pPr>
      <w:r>
        <w:rPr>
          <w:sz w:val="21"/>
          <w:szCs w:val="21"/>
        </w:rPr>
        <w:t xml:space="preserve">Signature &amp; Company Stamp: ______________________     Date: ______________________</w:t>
      </w:r>
    </w:p>
    <w:p>
      <w:pPr>
        <w:spacing w:after="160"/>
      </w:pPr>
    </w:p>
    <w:p>
      <w:pPr>
        <w:spacing w:after="60" w:before="0" w:line="276"/>
      </w:pPr>
      <w:r>
        <w:rPr>
          <w:b/>
          <w:bCs/>
          <w:sz w:val="21"/>
          <w:szCs w:val="21"/>
        </w:rPr>
        <w:t xml:space="preserve">Issued by:</w:t>
      </w:r>
    </w:p>
    <w:p>
      <w:pPr>
        <w:spacing w:after="20" w:before="0" w:line="276"/>
      </w:pPr>
      <w:r>
        <w:rPr>
          <w:sz w:val="21"/>
          <w:szCs w:val="21"/>
        </w:rPr>
        <w:t xml:space="preserve">Justice Chibuikem Ubani — Procurement Officer, CATAI</w:t>
      </w:r>
    </w:p>
    <w:p>
      <w:pPr>
        <w:spacing w:after="20" w:before="0" w:line="276"/>
      </w:pPr>
      <w:r>
        <w:rPr>
          <w:sz w:val="21"/>
          <w:szCs w:val="21"/>
        </w:rPr>
        <w:t xml:space="preserve">Approving Authority: Abubakar Sadiq Muazu — Executive Director, CATAI</w:t>
      </w:r>
    </w:p>
    <w:p>
      <w:pPr>
        <w:spacing w:after="120" w:before="0" w:line="276"/>
      </w:pPr>
      <w:r>
        <w:rPr>
          <w:i/>
          <w:iCs/>
          <w:sz w:val="18"/>
          <w:szCs w:val="18"/>
        </w:rPr>
        <w:t xml:space="preserve">(Signatures to be affixed manually.)</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9f7fdd7d42b1d0b37e927ace9412dec9cd8c66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2026-07-23T08:42:22.483Z</dcterms:created>
  <dcterms:modified xsi:type="dcterms:W3CDTF">2026-07-23T08:42:22.484Z</dcterms:modified>
</cp:coreProperties>
</file>

<file path=docProps/custom.xml><?xml version="1.0" encoding="utf-8"?>
<Properties xmlns="http://schemas.openxmlformats.org/officeDocument/2006/custom-properties" xmlns:vt="http://schemas.openxmlformats.org/officeDocument/2006/docPropsVTypes"/>
</file>